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MDMA-Assisted Therapy for PTSD (MAPP2, 2023)</w:t>
      </w:r>
    </w:p>
    <w:p>
      <w:r>
        <w:t>Source: Mitchell et al., Nature Medicine, Vol. 29, October 2023, pp. 2473–2480. (DOI: 10.1038/s41591-023-02565-4)</w:t>
      </w:r>
    </w:p>
    <w:p>
      <w:pPr>
        <w:pStyle w:val="Heading2"/>
      </w:pPr>
      <w:r>
        <w:t>Study Overview</w:t>
      </w:r>
    </w:p>
    <w:p>
      <w:r>
        <w:t>• Design: Multisite, randomized, double-blind, placebo-controlled Phase 3 trial (MAPP2)</w:t>
        <w:br/>
        <w:t>• Participants: 104 adults with moderate–severe PTSD (duration ≈ 16 years)</w:t>
        <w:br/>
        <w:t>• Sites: 13 (11 U.S., 2 Israel)</w:t>
        <w:br/>
        <w:t>• Timeline: August 2020 – November 2022</w:t>
        <w:br/>
        <w:t>• Intervention: Three 8-hour dosing sessions (1 month apart) with manualized inner-directed therapy</w:t>
        <w:br/>
        <w:t>• MDMA Dose: Session 1 (80 + 40 mg), Sessions 2–3 (120 + 60 mg)</w:t>
        <w:br/>
        <w:t>• Each dosing session followed by 3 integration sessions</w:t>
        <w:br/>
        <w:t>• ClinicalTrials.gov Identifier: NCT04077437</w:t>
      </w:r>
    </w:p>
    <w:p>
      <w:pPr>
        <w:pStyle w:val="Heading2"/>
      </w:pPr>
      <w:r>
        <w:t>Primary and Secondary Outcomes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Measure</w:t>
            </w:r>
          </w:p>
        </w:tc>
        <w:tc>
          <w:tcPr>
            <w:tcW w:type="dxa" w:w="1728"/>
          </w:tcPr>
          <w:p>
            <w:r>
              <w:t>MDMA-AT</w:t>
            </w:r>
          </w:p>
        </w:tc>
        <w:tc>
          <w:tcPr>
            <w:tcW w:type="dxa" w:w="1728"/>
          </w:tcPr>
          <w:p>
            <w:r>
              <w:t>Placebo + Therapy</w:t>
            </w:r>
          </w:p>
        </w:tc>
        <w:tc>
          <w:tcPr>
            <w:tcW w:type="dxa" w:w="1728"/>
          </w:tcPr>
          <w:p>
            <w:r>
              <w:t>Effect Size (Cohen’s d)</w:t>
            </w:r>
          </w:p>
        </w:tc>
        <w:tc>
          <w:tcPr>
            <w:tcW w:type="dxa" w:w="1728"/>
          </w:tcPr>
          <w:p>
            <w:r>
              <w:t>p-value</w:t>
            </w:r>
          </w:p>
        </w:tc>
      </w:tr>
      <w:tr>
        <w:tc>
          <w:tcPr>
            <w:tcW w:type="dxa" w:w="1728"/>
          </w:tcPr>
          <w:p>
            <w:r>
              <w:t>CAPS-5 score change</w:t>
            </w:r>
          </w:p>
        </w:tc>
        <w:tc>
          <w:tcPr>
            <w:tcW w:type="dxa" w:w="1728"/>
          </w:tcPr>
          <w:p>
            <w:r>
              <w:t>−23.7 (−26.9 to −20.4)</w:t>
            </w:r>
          </w:p>
        </w:tc>
        <w:tc>
          <w:tcPr>
            <w:tcW w:type="dxa" w:w="1728"/>
          </w:tcPr>
          <w:p>
            <w:r>
              <w:t>−14.8 (−18.3 to −11.3)</w:t>
            </w:r>
          </w:p>
        </w:tc>
        <w:tc>
          <w:tcPr>
            <w:tcW w:type="dxa" w:w="1728"/>
          </w:tcPr>
          <w:p>
            <w:r>
              <w:t>0.7</w:t>
            </w:r>
          </w:p>
        </w:tc>
        <w:tc>
          <w:tcPr>
            <w:tcW w:type="dxa" w:w="1728"/>
          </w:tcPr>
          <w:p>
            <w:r>
              <w:t>&lt; 0.001</w:t>
            </w:r>
          </w:p>
        </w:tc>
      </w:tr>
      <w:tr>
        <w:tc>
          <w:tcPr>
            <w:tcW w:type="dxa" w:w="1728"/>
          </w:tcPr>
          <w:p>
            <w:r>
              <w:t>SDS score change</w:t>
            </w:r>
          </w:p>
        </w:tc>
        <w:tc>
          <w:tcPr>
            <w:tcW w:type="dxa" w:w="1728"/>
          </w:tcPr>
          <w:p>
            <w:r>
              <w:t>−3.3 (−4.0 to −2.6)</w:t>
            </w:r>
          </w:p>
        </w:tc>
        <w:tc>
          <w:tcPr>
            <w:tcW w:type="dxa" w:w="1728"/>
          </w:tcPr>
          <w:p>
            <w:r>
              <w:t>−2.1 (−2.9 to −1.3)</w:t>
            </w:r>
          </w:p>
        </w:tc>
        <w:tc>
          <w:tcPr>
            <w:tcW w:type="dxa" w:w="1728"/>
          </w:tcPr>
          <w:p>
            <w:r>
              <w:t>0.4</w:t>
            </w:r>
          </w:p>
        </w:tc>
        <w:tc>
          <w:tcPr>
            <w:tcW w:type="dxa" w:w="1728"/>
          </w:tcPr>
          <w:p>
            <w:r>
              <w:t>0.03</w:t>
            </w:r>
          </w:p>
        </w:tc>
      </w:tr>
    </w:tbl>
    <w:p>
      <w:pPr>
        <w:pStyle w:val="Heading2"/>
      </w:pPr>
      <w:r>
        <w:t>Treatment Response Summary</w:t>
      </w:r>
    </w:p>
    <w:p>
      <w:r>
        <w:t>• ≥10-point CAPS-5 improvement: 86.5% vs 69.0%</w:t>
        <w:br/>
        <w:t>• No longer met PTSD criteria: 71.2% vs 47.6%</w:t>
        <w:br/>
        <w:t>• Remission (CAPS-5 ≤ 11): 46.2% vs 21.4%</w:t>
        <w:br/>
        <w:t>• Dropout rate: 1.9% (MDMA) vs 15.7% (placebo)</w:t>
      </w:r>
    </w:p>
    <w:p>
      <w:pPr>
        <w:pStyle w:val="Heading2"/>
      </w:pPr>
      <w:r>
        <w:t>Participant Demographics</w:t>
      </w:r>
    </w:p>
    <w:p>
      <w:r>
        <w:t>• 71% female at birth (60% MDMA, 82% placebo)</w:t>
        <w:br/>
        <w:t>• 27% Hispanic/Latino and 34% non-White — most diverse psychedelic trial to date</w:t>
        <w:br/>
        <w:t>• 23% had dissociative subtype PTSD</w:t>
        <w:br/>
        <w:t>• &gt;90% comorbid depression; ~80% lifetime suicidal ideation</w:t>
      </w:r>
    </w:p>
    <w:p>
      <w:pPr>
        <w:pStyle w:val="Heading2"/>
      </w:pPr>
      <w:r>
        <w:t>Safety and Tolerability</w:t>
      </w:r>
    </w:p>
    <w:p>
      <w:r>
        <w:t>• Severe adverse events: 5 (9.4%) MDMA vs 2 (3.9%) placebo — none serious or fatal</w:t>
        <w:br/>
        <w:t>• Common mild/moderate effects: muscle tightness, nausea, sweating, decreased appetite, feeling hot/cold</w:t>
        <w:br/>
        <w:t>• Transient increases in blood pressure and heart rate consistent with MDMA’s sympathomimetic profile</w:t>
        <w:br/>
        <w:t>• No cases of MDMA misuse, dependence, or diversion</w:t>
        <w:br/>
        <w:t>• Suicidal ideation did not exceed baseline levels; no suicidal behavior observed</w:t>
      </w:r>
    </w:p>
    <w:p>
      <w:pPr>
        <w:pStyle w:val="Heading2"/>
      </w:pPr>
      <w:r>
        <w:t>Interpretation and Implications</w:t>
      </w:r>
    </w:p>
    <w:p>
      <w:r>
        <w:t>• Confirms MAPP1 (2021) findings with a more diverse population.</w:t>
        <w:br/>
        <w:t>• MDMA-AT effective across PTSD severity and comorbidities, including depression and dissociative subtype.</w:t>
        <w:br/>
        <w:t>• Low dropout rate reflects enhanced therapeutic engagement compared to conventional trauma therapies.</w:t>
        <w:br/>
        <w:t>• Limitations: excluded high suicide risk or cardiovascular disease; 2-month follow-up window.</w:t>
        <w:br/>
        <w:t>• Ongoing follow-up (NCT05066282) will assess long-term durability of effects.</w:t>
        <w:br/>
        <w:t>• Suggests MDMA-assisted therapy is a safe, effective, and engaging adjunct to psychotherapy for chronic PTSD.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