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MDMA-Assisted Therapy Preparation Overview</w:t>
      </w:r>
    </w:p>
    <w:p>
      <w:r>
        <w:t>Adapted from Sara Gael, MA, LPC (Integrative Psychiatry Institute, 2025). This section summarizes the preparation phase for MDMA-Assisted Therapy (MDMA-AT) and is formatted for inclusion in the Silver Linings Psychedelic-Assisted Therapy Study Guide, Module 4 (MDMA).</w:t>
      </w:r>
    </w:p>
    <w:p>
      <w:pPr>
        <w:jc w:val="left"/>
      </w:pPr>
      <w:r>
        <w:rPr>
          <w:b/>
          <w:sz w:val="26"/>
        </w:rPr>
        <w:t>Overview and Learning Objectives</w:t>
      </w:r>
    </w:p>
    <w:p>
      <w:r>
        <w:t>Preparation sessions aim to establish safety, trust, and readiness for MDMA-AT. Goals include identifying effective therapist attitudes, assessing support systems, and guiding clients through the preparation arc.</w:t>
      </w:r>
    </w:p>
    <w:p>
      <w:pPr>
        <w:jc w:val="left"/>
      </w:pPr>
      <w:r>
        <w:rPr>
          <w:b/>
          <w:sz w:val="26"/>
        </w:rPr>
        <w:t>Set and Setting — The Healing Container</w:t>
      </w:r>
    </w:p>
    <w:p>
      <w:r>
        <w:t>Clients are familiarized with the therapy space, logistics, and intention-setting. The therapist creates a predictable, comfortable environment to enhance psychological safety.</w:t>
      </w:r>
    </w:p>
    <w:p>
      <w:pPr>
        <w:jc w:val="left"/>
      </w:pPr>
      <w:r>
        <w:rPr>
          <w:b/>
          <w:sz w:val="26"/>
        </w:rPr>
        <w:t>Fostering Safety and Trust</w:t>
      </w:r>
    </w:p>
    <w:p>
      <w:r>
        <w:t>Rapport is built through transparency, offering choice, and obtaining somatic consent. Two therapists are always present. Warmth, curiosity, and non-judgmental presence support alliance formation.</w:t>
      </w:r>
    </w:p>
    <w:p>
      <w:pPr>
        <w:jc w:val="left"/>
      </w:pPr>
      <w:r>
        <w:rPr>
          <w:b/>
          <w:sz w:val="26"/>
        </w:rPr>
        <w:t>Exploring Fears and Concerns</w:t>
      </w:r>
    </w:p>
    <w:p>
      <w:r>
        <w:t>Clients are invited to express apprehensions about control, trauma, or MDMA itself. Internal parts and subpersonalities are normalized through the IFS perspective.</w:t>
      </w:r>
    </w:p>
    <w:p>
      <w:pPr>
        <w:jc w:val="left"/>
      </w:pPr>
      <w:r>
        <w:rPr>
          <w:b/>
          <w:sz w:val="26"/>
        </w:rPr>
        <w:t>Assessment and Screening</w:t>
      </w:r>
    </w:p>
    <w:p>
      <w:r>
        <w:t>Standardized tools include PCL-5, CAPS-5, C-SSRS, and dissociation measures. These help determine client fit and identify trauma-related risks.</w:t>
      </w:r>
    </w:p>
    <w:p>
      <w:pPr>
        <w:jc w:val="left"/>
      </w:pPr>
      <w:r>
        <w:rPr>
          <w:b/>
          <w:sz w:val="26"/>
        </w:rPr>
        <w:t>Medication Review</w:t>
      </w:r>
    </w:p>
    <w:p>
      <w:r>
        <w:t>Medication history and tapering experiences are reviewed for safety. Clients share coping strategies and any substances they plan to use.</w:t>
      </w:r>
    </w:p>
    <w:p>
      <w:pPr>
        <w:jc w:val="left"/>
      </w:pPr>
      <w:r>
        <w:rPr>
          <w:b/>
          <w:sz w:val="26"/>
        </w:rPr>
        <w:t>Trauma History and Dissociation</w:t>
      </w:r>
    </w:p>
    <w:p>
      <w:r>
        <w:t>Therapists begin with symptom exploration before trauma narratives, encouraging somatic grounding and presence. Consent is reaffirmed for trauma discussion during sessions. MDMA-AT may not suit complex PTSD cases.</w:t>
      </w:r>
    </w:p>
    <w:p>
      <w:pPr>
        <w:jc w:val="left"/>
      </w:pPr>
      <w:r>
        <w:rPr>
          <w:b/>
          <w:sz w:val="26"/>
        </w:rPr>
        <w:t>MDMA Effects and Logistics</w:t>
      </w:r>
    </w:p>
    <w:p>
      <w:r>
        <w:t>MDMA dosage typically ranges 75–125 mg, with optional booster. Expected effects include empathy, openness, and connection. Physical sensations may involve jaw tension, dehydration, and pupil dilation.</w:t>
      </w:r>
    </w:p>
    <w:p>
      <w:pPr>
        <w:jc w:val="left"/>
      </w:pPr>
      <w:r>
        <w:rPr>
          <w:b/>
          <w:sz w:val="26"/>
        </w:rPr>
        <w:t>Beginner’s Mind and Present-Moment Awareness</w:t>
      </w:r>
    </w:p>
    <w:p>
      <w:r>
        <w:t>Clients practice mindfulness, curiosity, and openness. Grounding techniques are reviewed. Difficult emotions such as rage or terror are reframed as part of healing. Safe somatic release (pillows, vocalization) is encouraged.</w:t>
      </w:r>
    </w:p>
    <w:p>
      <w:pPr>
        <w:jc w:val="left"/>
      </w:pPr>
      <w:r>
        <w:rPr>
          <w:b/>
          <w:sz w:val="26"/>
        </w:rPr>
        <w:t>Inner-Directed Process</w:t>
      </w:r>
    </w:p>
    <w:p>
      <w:r>
        <w:t>Clients are oriented to their inner healing intelligence, alternating between inward attention and therapist connection. Music, silence, and eyeshades support introspection.</w:t>
      </w:r>
    </w:p>
    <w:p>
      <w:pPr>
        <w:jc w:val="left"/>
      </w:pPr>
      <w:r>
        <w:rPr>
          <w:b/>
          <w:sz w:val="26"/>
        </w:rPr>
        <w:t>Music and Somatic Tools</w:t>
      </w:r>
    </w:p>
    <w:p>
      <w:r>
        <w:t>Instrumental, lyric-free music guides emotional flow. Therapists curate playlists and respond to client preferences. Music acts as a non-linguistic anchor for emotion.</w:t>
      </w:r>
    </w:p>
    <w:p>
      <w:pPr>
        <w:jc w:val="left"/>
      </w:pPr>
      <w:r>
        <w:rPr>
          <w:b/>
          <w:sz w:val="26"/>
        </w:rPr>
        <w:t>Touch, Consent, and Boundaries</w:t>
      </w:r>
    </w:p>
    <w:p>
      <w:r>
        <w:t>Touch agreements occur while sober. Necessary versus therapeutic touch is clarified. Sexual touch is never permissible. Consent can be withdrawn at any time. Therapists monitor countertransference.</w:t>
      </w:r>
    </w:p>
    <w:p>
      <w:pPr>
        <w:jc w:val="left"/>
      </w:pPr>
      <w:r>
        <w:rPr>
          <w:b/>
          <w:sz w:val="26"/>
        </w:rPr>
        <w:t>Client Support Systems</w:t>
      </w:r>
    </w:p>
    <w:p>
      <w:r>
        <w:t>Clients identify trusted family or friends. Support people may attend one prep or integration session. Emotion-Focused Family Therapy may strengthen post-session support.</w:t>
      </w:r>
    </w:p>
    <w:p>
      <w:pPr>
        <w:jc w:val="left"/>
      </w:pPr>
      <w:r>
        <w:rPr>
          <w:b/>
          <w:sz w:val="26"/>
        </w:rPr>
        <w:t>Arc of Preparation Sessions</w:t>
      </w:r>
    </w:p>
    <w:p>
      <w:r>
        <w:t>Session 1: Orientation, safety, stress inoculation, psychoeducation.</w:t>
        <w:br/>
        <w:t>Session 2: Anticipation review, support person introduction, logistics.</w:t>
        <w:br/>
        <w:t>Session 3: Deeper trauma exploration, reassurance of inner healing, risk and pregnancy testing.</w:t>
        <w:br/>
        <w:t>All sessions review health and medication changes.</w:t>
      </w:r>
    </w:p>
    <w:p>
      <w:pPr>
        <w:jc w:val="left"/>
      </w:pPr>
      <w:r>
        <w:rPr>
          <w:b/>
          <w:sz w:val="26"/>
        </w:rPr>
        <w:t>References</w:t>
      </w:r>
    </w:p>
    <w:p>
      <w:r>
        <w:t>Mithoefer, M.C. et al. (2017). MAPS MDMA-Assisted Psychotherapy Manual v8.1.</w:t>
        <w:br/>
        <w:t>Anderson, F.G. et al. (2017). Internal Family Systems Skills Training Manual.</w:t>
        <w:br/>
        <w:t>Lafrance, A. et al. (2016). Emotion-Focused Family Therapy for Eating Disorders.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