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Managing Anxiety in Investigational MDMA-Assisted Therapy</w:t>
      </w:r>
    </w:p>
    <w:p>
      <w:r>
        <w:t>This one-page clinical reference summarizes investigator approaches for working with anxiety in MDMA-assisted therapy sessions, based on materials by Sara Gael, MA, LPC, and Kelley O'Donnell, MD, PhD (Integrative Psychiatry Institute, 2025). The safety and efficacy of MDMA-assisted therapy are still under investigation and it has not been approved by the FDA.</w:t>
      </w:r>
    </w:p>
    <w:p>
      <w:pPr>
        <w:pStyle w:val="Heading2"/>
      </w:pPr>
      <w:r>
        <w:t>1. Frequency and Nature of Anxiety</w:t>
      </w:r>
    </w:p>
    <w:p>
      <w:r>
        <w:t>• Most common adverse event in Phase 2 trials: 72% of MDMA group vs. 48% of placebo group.</w:t>
      </w:r>
    </w:p>
    <w:p>
      <w:r>
        <w:t>• Common features: disorientation, confusion, racing thoughts, physiological tension, elevated heart rate, and blood pressure.</w:t>
      </w:r>
    </w:p>
    <w:p>
      <w:r>
        <w:t>• Often related to participants’ first experience with a non-ordinary state of consciousness.</w:t>
      </w:r>
    </w:p>
    <w:p>
      <w:r>
        <w:t>• Preparation and reassurance (e.g., vital checks) help reduce anxiety.</w:t>
      </w:r>
    </w:p>
    <w:p>
      <w:pPr>
        <w:pStyle w:val="Heading2"/>
      </w:pPr>
      <w:r>
        <w:t>2. At Onset — Therapeutic Approaches</w:t>
      </w:r>
    </w:p>
    <w:p>
      <w:r>
        <w:t>• Encourage trust and surrender to the process.</w:t>
      </w:r>
    </w:p>
    <w:p>
      <w:r>
        <w:t>• Provide reassurance and normalization (e.g., 'We are right here with you,' 'This will pass').</w:t>
      </w:r>
    </w:p>
    <w:p>
      <w:r>
        <w:t>• Guide participants in diaphragmatic breathing or grounding.</w:t>
      </w:r>
    </w:p>
    <w:p>
      <w:r>
        <w:t>• Offer nurturing or supportive touch when appropriate.</w:t>
      </w:r>
    </w:p>
    <w:p>
      <w:r>
        <w:t>• Maintain therapist self-regulation and co-regulation.</w:t>
      </w:r>
    </w:p>
    <w:p>
      <w:pPr>
        <w:pStyle w:val="Heading2"/>
      </w:pPr>
      <w:r>
        <w:t>3. Later in Session</w:t>
      </w:r>
    </w:p>
    <w:p>
      <w:r>
        <w:t>• Anxiety often arises as traumatic material surfaces, sometimes in waves of intensity.</w:t>
      </w:r>
    </w:p>
    <w:p>
      <w:r>
        <w:t>• Participants may experience cycles of fear and release, reflecting MDMA’s role in emotional processing.</w:t>
      </w:r>
    </w:p>
    <w:p>
      <w:r>
        <w:t>• Encourage breathing and physical movement to 'move through' emotion.</w:t>
      </w:r>
    </w:p>
    <w:p>
      <w:r>
        <w:t>• Validate and support full expression (crying, vocalization, movement).</w:t>
      </w:r>
    </w:p>
    <w:p>
      <w:r>
        <w:t>• Balance reassurance with trust in the participant’s process.</w:t>
      </w:r>
    </w:p>
    <w:p>
      <w:r>
        <w:t>• Use minimal verbal guidance to maintain inner focus.</w:t>
      </w:r>
    </w:p>
    <w:p>
      <w:pPr>
        <w:pStyle w:val="Heading2"/>
      </w:pPr>
      <w:r>
        <w:t>4. Key Clinical Takeaways</w:t>
      </w:r>
    </w:p>
    <w:p>
      <w:r>
        <w:t>• MDMA can expand the participant’s window of tolerance, allowing difficult emotions to be experienced safely.</w:t>
      </w:r>
    </w:p>
    <w:p>
      <w:r>
        <w:t>• Grounding, normalization, and breathwork are primary tools for managing anxiety.</w:t>
      </w:r>
    </w:p>
    <w:p>
      <w:r>
        <w:t>• Therapist presence, attunement, and co-regulation are central to safety and trust.</w:t>
      </w:r>
    </w:p>
    <w:p>
      <w:r>
        <w:t>• Anxiety is not necessarily a negative sign; it can be part of the healing process when safely held.</w:t>
      </w:r>
    </w:p>
    <w:p>
      <w:pPr>
        <w:jc w:val="center"/>
      </w:pPr>
      <w:r>
        <w:t>References: Mithoefer et al., MAPS Manual for MDMA-Assisted Therapy (2014); Investigator’s Brochure (2023); Gael &amp; O’Donnell, Investigator Observations (2023).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