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Module 1 → Section 1.1: Set and Setting — The Healing Container</w:t>
      </w:r>
    </w:p>
    <w:p>
      <w:pPr>
        <w:jc w:val="center"/>
      </w:pPr>
      <w:r>
        <w:t>Integrated Summary Based on MAPS MDMA-Assisted Psychotherapy Treatment Manual v8.1 (2017)</w:t>
      </w:r>
    </w:p>
    <w:p>
      <w:r>
        <w:t>This section outlines the principles of ‘Set and Setting’ as articulated in the MAPS MDMA-Assisted Psychotherapy Treatment Manual (Version 8.1, 2017). It integrates foundational and procedural guidance into a single clinician-oriented overview, suitable for training and reference within psychedelic-assisted therapy practice.</w:t>
      </w:r>
    </w:p>
    <w:p>
      <w:pPr>
        <w:pStyle w:val="Heading2"/>
      </w:pPr>
      <w:r>
        <w:t>1. Foundational Premise</w:t>
      </w:r>
    </w:p>
    <w:p>
      <w:r>
        <w:t>In MDMA-assisted psychotherapy, set and setting form the central therapeutic container — the framework through which the participant’s innate healing intelligence can emerge. Healing arises from the synergy between the medicine’s neurobiological effects, the therapeutic relationship, and the physical and psychological environment.</w:t>
      </w:r>
    </w:p>
    <w:p>
      <w:pPr>
        <w:pStyle w:val="Heading2"/>
      </w:pPr>
      <w:r>
        <w:t>2. Elements of the Therapeutic Container</w:t>
      </w:r>
    </w:p>
    <w:p>
      <w:pPr>
        <w:pStyle w:val="Heading3"/>
      </w:pPr>
      <w:r>
        <w:t>2.1 Set — The Inner Mindset</w:t>
      </w:r>
    </w:p>
    <w:p>
      <w:r>
        <w:t>Participants enter MDMA sessions after multiple preparatory meetings focused on trust, orientation, and safety. They are encouraged to trust their inner healing intelligence — the psyche’s innate tendency toward wholeness and repair. Therapists adopt a ‘beginner’s mind,’ maintaining curiosity and compassion while avoiding preconceptions. The therapeutic alliance relies on safety, boundaries, mutual respect, and empathic presence.</w:t>
      </w:r>
    </w:p>
    <w:p>
      <w:pPr>
        <w:pStyle w:val="Heading3"/>
      </w:pPr>
      <w:r>
        <w:t>2.2 Setting — The Outer Environment</w:t>
      </w:r>
    </w:p>
    <w:p>
      <w:r>
        <w:t>The MAPS model specifies that the environment should feel more like a comfortable living room than a clinic. The space must be private, quiet, and aesthetically warm. Essential elements include soft lighting, fresh flowers, and artwork without disturbing imagery. A futon or sofa supports reclining or upright positions, with two therapists nearby. Music acts as a non-verbal guide—evocative but non-directive—progressing from relaxing to expressive to meditative phases. Participants may request silence or different selections, encouraged to reflect on whether such desires arise from avoidance or intuition.</w:t>
      </w:r>
    </w:p>
    <w:p>
      <w:pPr>
        <w:pStyle w:val="Heading2"/>
      </w:pPr>
      <w:r>
        <w:t>3. Empathic Presence — Holding the Field</w:t>
      </w:r>
    </w:p>
    <w:p>
      <w:r>
        <w:t>Empathic presence is the felt sense of being deeply accompanied. Therapists maintain relaxed engagement, compassionate curiosity, and non-judgmental witnessing. Interventions arise only when safety or process stagnation requires it. This steady, attuned presence mirrors secure attachment and supports trauma resolution.</w:t>
      </w:r>
    </w:p>
    <w:p>
      <w:pPr>
        <w:pStyle w:val="Heading2"/>
      </w:pPr>
      <w:r>
        <w:t>4. Supporting the Body and Somatic Safety</w:t>
      </w:r>
    </w:p>
    <w:p>
      <w:r>
        <w:t>The environment supports somatic expression through comfortable movement space and therapist training in body-oriented techniques. Touch, when used, is consensual, non-sexual, and explicitly discussed in advance. Participants are encouraged to ‘breathe into’ sensations, reinforcing safety and trust in the body.</w:t>
      </w:r>
    </w:p>
    <w:p>
      <w:pPr>
        <w:pStyle w:val="Heading2"/>
      </w:pPr>
      <w:r>
        <w:t>5. Social and Cultural Setting</w:t>
      </w:r>
    </w:p>
    <w:p>
      <w:r>
        <w:t>The broader therapeutic container includes the participant’s social and cultural context. Therapists help identify supportive allies for post-session care and discuss the discretion required when sharing MDMA-related experiences. Cultural humility and gender inclusivity are emphasized as essential elements of safety.</w:t>
      </w:r>
    </w:p>
    <w:p>
      <w:pPr>
        <w:pStyle w:val="Heading2"/>
      </w:pPr>
      <w:r>
        <w:t>6. Integration as Extension of Set and Setting</w:t>
      </w:r>
    </w:p>
    <w:p>
      <w:r>
        <w:t>The healing container extends beyond the MDMA session into integration and daily life. Follow-up sessions, journaling, art, and embodied practices help stabilize insights. A coherent external environment continues the containment initiated in the therapy space.</w:t>
      </w:r>
    </w:p>
    <w:p>
      <w:pPr>
        <w:pStyle w:val="Heading2"/>
      </w:pPr>
      <w:r>
        <w:t>7. Clinical Implications</w:t>
      </w:r>
    </w:p>
    <w:p>
      <w:r>
        <w:t>A well-structured set and setting reduces fear and defensiveness, deepens trust, and allows access to suppressed material with minimal dissociation. Therapists who treat the environment as an active therapeutic instrument maximize the potential for transformation and integration.</w:t>
      </w:r>
    </w:p>
    <w:p>
      <w:pPr>
        <w:pStyle w:val="Heading2"/>
      </w:pPr>
      <w:r>
        <w:t>Key MAPS-Derived Takeaways</w:t>
      </w:r>
    </w:p>
    <w:p>
      <w:pPr>
        <w:pStyle w:val="ListBullet"/>
      </w:pPr>
      <w:r>
        <w:t>Safety first — physical and psychological safety precede research or performance goals.</w:t>
      </w:r>
    </w:p>
    <w:p>
      <w:pPr>
        <w:pStyle w:val="ListBullet"/>
      </w:pPr>
      <w:r>
        <w:t>Non-directive stance — invitation, patience, curiosity, not imposition.</w:t>
      </w:r>
    </w:p>
    <w:p>
      <w:pPr>
        <w:pStyle w:val="ListBullet"/>
      </w:pPr>
      <w:r>
        <w:t>Inner healing intelligence — trust in the psyche’s natural drive toward wholeness.</w:t>
      </w:r>
    </w:p>
    <w:p>
      <w:pPr>
        <w:pStyle w:val="ListBullet"/>
      </w:pPr>
      <w:r>
        <w:t>Aesthetic containment — a home-like, grounded, and nurturing environment.</w:t>
      </w:r>
    </w:p>
    <w:p>
      <w:pPr>
        <w:pStyle w:val="ListBullet"/>
      </w:pPr>
      <w:r>
        <w:t>Cultural humility — respect for identity and worldview diversity.</w:t>
      </w:r>
    </w:p>
    <w:p>
      <w:pPr>
        <w:pStyle w:val="ListBullet"/>
      </w:pPr>
      <w:r>
        <w:t>Integration continuum — the setting extends beyond the session itself.</w:t>
      </w:r>
    </w:p>
    <w:p>
      <w:r>
        <w:t>Adapted from Mithoefer, M. C., et al. (2017). MDMA-Assisted Psychotherapy Treatment Manual, Version 8.1. Multidisciplinary Association for Psychedelic Studies (MAPS).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