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Module 3 | Section 3.4</w:t>
      </w:r>
    </w:p>
    <w:p>
      <w:pPr>
        <w:pStyle w:val="Heading2"/>
      </w:pPr>
      <w:r>
        <w:t>Integrating Spiritual, Existential, Religious, and Theological (SERT) Dimensions in Psychedelic-Assisted Therapy</w:t>
      </w:r>
    </w:p>
    <w:p>
      <w:r>
        <w:t>Purpose and Scope</w:t>
      </w:r>
    </w:p>
    <w:p>
      <w:r>
        <w:t>This module summarizes current scholarship on integrating spiritual, existential, religious, and theological (SERT) components into psychedelic-assisted therapy (PAT). It adapts Palitsky et al. (2023, JAMA Psychiatry) for use in clinical education and practice development, guiding facilitators toward pluralistic, ethically grounded, and evidence-informed engagement with SERT experiences.</w:t>
      </w:r>
    </w:p>
    <w:p>
      <w:pPr>
        <w:pStyle w:val="Heading2"/>
      </w:pPr>
      <w:r>
        <w:t>1. Overview</w:t>
      </w:r>
    </w:p>
    <w:p>
      <w:r>
        <w:t>Psychedelic-assisted therapy reliably evokes experiences that patients interpret as spiritual, existential, or theological in nature. Studies show that two-thirds to five-sixths of participants describe their session as among the most meaningful or spiritual of their lives. While these phenomena can mediate therapeutic change, they are often under-addressed in manuals and training curricula. The SERT framework provides language and guidance for clinicians to recognize, support, and integrate these experiences without imposing any worldview.</w:t>
      </w:r>
    </w:p>
    <w:p>
      <w:pPr>
        <w:pStyle w:val="Heading2"/>
      </w:pPr>
      <w:r>
        <w:t>2. Clinical Rationale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SERT Dimension</w:t>
            </w:r>
          </w:p>
        </w:tc>
        <w:tc>
          <w:tcPr>
            <w:tcW w:type="dxa" w:w="2880"/>
          </w:tcPr>
          <w:p>
            <w:r>
              <w:t>Definition</w:t>
            </w:r>
          </w:p>
        </w:tc>
        <w:tc>
          <w:tcPr>
            <w:tcW w:type="dxa" w:w="2880"/>
          </w:tcPr>
          <w:p>
            <w:r>
              <w:t>Therapeutic Relevance in PAT</w:t>
            </w:r>
          </w:p>
        </w:tc>
      </w:tr>
      <w:tr>
        <w:tc>
          <w:tcPr>
            <w:tcW w:type="dxa" w:w="2880"/>
          </w:tcPr>
          <w:p>
            <w:r>
              <w:t>Spiritual</w:t>
            </w:r>
          </w:p>
        </w:tc>
        <w:tc>
          <w:tcPr>
            <w:tcW w:type="dxa" w:w="2880"/>
          </w:tcPr>
          <w:p>
            <w:r>
              <w:t>Relationship with what is perceived as sacred; includes mystical or numinous experience.</w:t>
            </w:r>
          </w:p>
        </w:tc>
        <w:tc>
          <w:tcPr>
            <w:tcW w:type="dxa" w:w="2880"/>
          </w:tcPr>
          <w:p>
            <w:r>
              <w:t>Encourage integration of uplifting or distressing encounters with the sacred; support meaning-making without endorsement.</w:t>
            </w:r>
          </w:p>
        </w:tc>
      </w:tr>
      <w:tr>
        <w:tc>
          <w:tcPr>
            <w:tcW w:type="dxa" w:w="2880"/>
          </w:tcPr>
          <w:p>
            <w:r>
              <w:t>Existential</w:t>
            </w:r>
          </w:p>
        </w:tc>
        <w:tc>
          <w:tcPr>
            <w:tcW w:type="dxa" w:w="2880"/>
          </w:tcPr>
          <w:p>
            <w:r>
              <w:t>Questions of mortality, freedom, purpose, and connection.</w:t>
            </w:r>
          </w:p>
        </w:tc>
        <w:tc>
          <w:tcPr>
            <w:tcW w:type="dxa" w:w="2880"/>
          </w:tcPr>
          <w:p>
            <w:r>
              <w:t>Facilitate meaning reconstruction and existential security; attend to destabilization following profound insight.</w:t>
            </w:r>
          </w:p>
        </w:tc>
      </w:tr>
      <w:tr>
        <w:tc>
          <w:tcPr>
            <w:tcW w:type="dxa" w:w="2880"/>
          </w:tcPr>
          <w:p>
            <w:r>
              <w:t>Religious</w:t>
            </w:r>
          </w:p>
        </w:tc>
        <w:tc>
          <w:tcPr>
            <w:tcW w:type="dxa" w:w="2880"/>
          </w:tcPr>
          <w:p>
            <w:r>
              <w:t>Organized or communal systems of belief and practice.</w:t>
            </w:r>
          </w:p>
        </w:tc>
        <w:tc>
          <w:tcPr>
            <w:tcW w:type="dxa" w:w="2880"/>
          </w:tcPr>
          <w:p>
            <w:r>
              <w:t>Respect prior affiliation or disaffiliation; avoid importing facilitator doctrine.</w:t>
            </w:r>
          </w:p>
        </w:tc>
      </w:tr>
      <w:tr>
        <w:tc>
          <w:tcPr>
            <w:tcW w:type="dxa" w:w="2880"/>
          </w:tcPr>
          <w:p>
            <w:r>
              <w:t>Theological</w:t>
            </w:r>
          </w:p>
        </w:tc>
        <w:tc>
          <w:tcPr>
            <w:tcW w:type="dxa" w:w="2880"/>
          </w:tcPr>
          <w:p>
            <w:r>
              <w:t>Conceptual frameworks about divinity, transcendence, or moral order.</w:t>
            </w:r>
          </w:p>
        </w:tc>
        <w:tc>
          <w:tcPr>
            <w:tcW w:type="dxa" w:w="2880"/>
          </w:tcPr>
          <w:p>
            <w:r>
              <w:t>Help clients safely explore questions without evaluative stance.</w:t>
            </w:r>
          </w:p>
        </w:tc>
      </w:tr>
    </w:tbl>
    <w:p>
      <w:pPr>
        <w:pStyle w:val="Heading2"/>
      </w:pPr>
      <w:r>
        <w:t>3. Evidence Base</w:t>
      </w:r>
    </w:p>
    <w:p>
      <w:r>
        <w:t>- Mystical-type or existential experiences predict reductions in depression, addiction, and end-of-life distress.</w:t>
        <w:br/>
        <w:t>- Meta-analyses of spiritually integrated psychotherapies show superior or equivalent mental-health outcomes compared with secular equivalents.</w:t>
        <w:br/>
        <w:t>- Addressing SERT issues improves alliance and safety across populations.</w:t>
        <w:br/>
        <w:t>- Avoidance of SERT topics may privilege secular worldviews and reduce patient trust.</w:t>
      </w:r>
    </w:p>
    <w:p>
      <w:pPr>
        <w:pStyle w:val="Heading2"/>
      </w:pPr>
      <w:r>
        <w:t>4. Implementation Guidelines</w:t>
      </w:r>
    </w:p>
    <w:p>
      <w:r>
        <w:t>4.1 Assessment: Use structured tools (e.g., FICA Spiritual History), document strengths, vulnerabilities, and goals.</w:t>
      </w:r>
    </w:p>
    <w:p>
      <w:r>
        <w:t>4.2 Preparation: Establish agreements, normalize spiritual content, and identify meaningful symbols or practices.</w:t>
      </w:r>
    </w:p>
    <w:p>
      <w:r>
        <w:t>4.3 Dosing: Maintain neutrality and track emergent SERT themes; reassure clients as needed.</w:t>
      </w:r>
    </w:p>
    <w:p>
      <w:r>
        <w:t>4.4 Integration: Facilitate narrative construction, differentiate challenge vs. injury, and collaborate with chaplains.</w:t>
      </w:r>
    </w:p>
    <w:p>
      <w:pPr>
        <w:pStyle w:val="Heading2"/>
      </w:pPr>
      <w:r>
        <w:t>5. Safety and Ethical Considerations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Potential Risk</w:t>
            </w:r>
          </w:p>
        </w:tc>
        <w:tc>
          <w:tcPr>
            <w:tcW w:type="dxa" w:w="2880"/>
          </w:tcPr>
          <w:p>
            <w:r>
              <w:t>Description / Example</w:t>
            </w:r>
          </w:p>
        </w:tc>
        <w:tc>
          <w:tcPr>
            <w:tcW w:type="dxa" w:w="2880"/>
          </w:tcPr>
          <w:p>
            <w:r>
              <w:t>Mitigation Strategy</w:t>
            </w:r>
          </w:p>
        </w:tc>
      </w:tr>
      <w:tr>
        <w:tc>
          <w:tcPr>
            <w:tcW w:type="dxa" w:w="2880"/>
          </w:tcPr>
          <w:p>
            <w:r>
              <w:t>Suggestibility</w:t>
            </w:r>
          </w:p>
        </w:tc>
        <w:tc>
          <w:tcPr>
            <w:tcW w:type="dxa" w:w="2880"/>
          </w:tcPr>
          <w:p>
            <w:r>
              <w:t>Heightened openness may lead to therapist influence.</w:t>
            </w:r>
          </w:p>
        </w:tc>
        <w:tc>
          <w:tcPr>
            <w:tcW w:type="dxa" w:w="2880"/>
          </w:tcPr>
          <w:p>
            <w:r>
              <w:t>Maintain neutral stance; obtain explicit consent for interpretive dialogue.</w:t>
            </w:r>
          </w:p>
        </w:tc>
      </w:tr>
      <w:tr>
        <w:tc>
          <w:tcPr>
            <w:tcW w:type="dxa" w:w="2880"/>
          </w:tcPr>
          <w:p>
            <w:r>
              <w:t>Religious Trauma Reactivation</w:t>
            </w:r>
          </w:p>
        </w:tc>
        <w:tc>
          <w:tcPr>
            <w:tcW w:type="dxa" w:w="2880"/>
          </w:tcPr>
          <w:p>
            <w:r>
              <w:t>Imagery from prior faith traditions may arise.</w:t>
            </w:r>
          </w:p>
        </w:tc>
        <w:tc>
          <w:tcPr>
            <w:tcW w:type="dxa" w:w="2880"/>
          </w:tcPr>
          <w:p>
            <w:r>
              <w:t>Use trauma-informed pacing and autonomy in meaning-making.</w:t>
            </w:r>
          </w:p>
        </w:tc>
      </w:tr>
      <w:tr>
        <w:tc>
          <w:tcPr>
            <w:tcW w:type="dxa" w:w="2880"/>
          </w:tcPr>
          <w:p>
            <w:r>
              <w:t>Worldview Disruption</w:t>
            </w:r>
          </w:p>
        </w:tc>
        <w:tc>
          <w:tcPr>
            <w:tcW w:type="dxa" w:w="2880"/>
          </w:tcPr>
          <w:p>
            <w:r>
              <w:t>Difficulty reconciling experience with prior belief system.</w:t>
            </w:r>
          </w:p>
        </w:tc>
        <w:tc>
          <w:tcPr>
            <w:tcW w:type="dxa" w:w="2880"/>
          </w:tcPr>
          <w:p>
            <w:r>
              <w:t>Provide grounding and referral for theological integration if desired.</w:t>
            </w:r>
          </w:p>
        </w:tc>
      </w:tr>
      <w:tr>
        <w:tc>
          <w:tcPr>
            <w:tcW w:type="dxa" w:w="2880"/>
          </w:tcPr>
          <w:p>
            <w:r>
              <w:t>Therapist Bias</w:t>
            </w:r>
          </w:p>
        </w:tc>
        <w:tc>
          <w:tcPr>
            <w:tcW w:type="dxa" w:w="2880"/>
          </w:tcPr>
          <w:p>
            <w:r>
              <w:t>Unexamined secular or religious assumptions distort care.</w:t>
            </w:r>
          </w:p>
        </w:tc>
        <w:tc>
          <w:tcPr>
            <w:tcW w:type="dxa" w:w="2880"/>
          </w:tcPr>
          <w:p>
            <w:r>
              <w:t>Engage in self-reflection, supervision, and cultural competence training.</w:t>
            </w:r>
          </w:p>
        </w:tc>
      </w:tr>
      <w:tr>
        <w:tc>
          <w:tcPr>
            <w:tcW w:type="dxa" w:w="2880"/>
          </w:tcPr>
          <w:p>
            <w:r>
              <w:t>Under-reporting Adverse Events</w:t>
            </w:r>
          </w:p>
        </w:tc>
        <w:tc>
          <w:tcPr>
            <w:tcW w:type="dxa" w:w="2880"/>
          </w:tcPr>
          <w:p>
            <w:r>
              <w:t>Distressing SERT content reframed as 'growth.'</w:t>
            </w:r>
          </w:p>
        </w:tc>
        <w:tc>
          <w:tcPr>
            <w:tcW w:type="dxa" w:w="2880"/>
          </w:tcPr>
          <w:p>
            <w:r>
              <w:t>Track SERT-specific adverse events with patient-defined harm/benefit.</w:t>
            </w:r>
          </w:p>
        </w:tc>
      </w:tr>
    </w:tbl>
    <w:p>
      <w:pPr>
        <w:pStyle w:val="Heading2"/>
      </w:pPr>
      <w:r>
        <w:t>6. Interdisciplinary Collaboration</w:t>
      </w:r>
    </w:p>
    <w:p>
      <w:r>
        <w:t>Adopt a triadic model: (1) Mental-health clinician, (2) Spiritual-health clinician (chaplain), and (3) Patient stakeholder. Include certified chaplains and cross-disciplinary consultation to enhance cultural competence.</w:t>
      </w:r>
    </w:p>
    <w:p>
      <w:pPr>
        <w:pStyle w:val="Heading2"/>
      </w:pPr>
      <w:r>
        <w:t>7. Research and Development Priorities</w:t>
      </w:r>
    </w:p>
    <w:p>
      <w:r>
        <w:t>1. Standardize SERT assessments.</w:t>
        <w:br/>
        <w:t>2. Identify mediating mechanisms.</w:t>
        <w:br/>
        <w:t>3. Evaluate SERT-competence training outcomes.</w:t>
        <w:br/>
        <w:t>4. Develop dismantling studies.</w:t>
        <w:br/>
        <w:t>5. Expand qualitative work on negative or ambivalent experiences.</w:t>
      </w:r>
    </w:p>
    <w:p>
      <w:pPr>
        <w:pStyle w:val="Heading2"/>
      </w:pPr>
      <w:r>
        <w:t>8. Facilitator Reflection Prompts</w:t>
      </w:r>
    </w:p>
    <w:p>
      <w:r>
        <w:t>1. Recall a client with spiritual or existential content. How did you respond?</w:t>
        <w:br/>
        <w:t>2. How do your beliefs influence interpretation?</w:t>
        <w:br/>
        <w:t>3. How might collaboration with a chaplain alter your practice?</w:t>
        <w:br/>
        <w:t>4. How would you document a SERT-related adverse event?</w:t>
        <w:br/>
        <w:t>5. What training would increase your comfort with theology or existential despair?</w:t>
      </w:r>
    </w:p>
    <w:p>
      <w:pPr>
        <w:pStyle w:val="Heading2"/>
      </w:pPr>
      <w:r>
        <w:t>9. Summary Points</w:t>
      </w:r>
    </w:p>
    <w:p>
      <w:r>
        <w:t>- SERT phenomena are common mediators of PAT outcomes.</w:t>
        <w:br/>
        <w:t>- Competent engagement enhances safety and meaning-making.</w:t>
        <w:br/>
        <w:t>- Clinician humility and pluralism are essential.</w:t>
        <w:br/>
        <w:t>- Systematic SERT integration aligns with culturally competent care.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