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Silver Linings Clinician Manual</w:t>
      </w:r>
    </w:p>
    <w:p>
      <w:pPr>
        <w:jc w:val="center"/>
      </w:pPr>
      <w:r>
        <w:t>Section 2.9 — KAP Swishing Meditations: Three-Day Template and Criteria</w:t>
      </w:r>
    </w:p>
    <w:p/>
    <w:p>
      <w:pPr>
        <w:pStyle w:val="Heading2"/>
      </w:pPr>
      <w:r>
        <w:t>Overview</w:t>
      </w:r>
    </w:p>
    <w:p>
      <w:r>
        <w:t>This three-day meditative protocol offers a structured yet flexible sequence to accompany Ketamine-Assisted Psychotherapy (KAP). Each 15-minute script supports limbic regulation and embodied mindfulness, guiding clients from safety → joy → wholeness. Facilitators are encouraged to use invitational language, rhythmic pacing, and grounded presence to reinforce the medicine’s inner guidance process.</w:t>
      </w:r>
    </w:p>
    <w:p>
      <w:pPr>
        <w:pStyle w:val="Heading2"/>
      </w:pPr>
      <w:r>
        <w:t>Facilitation Criteria</w:t>
      </w:r>
    </w:p>
    <w:p>
      <w:pPr>
        <w:pStyle w:val="ListBullet"/>
      </w:pPr>
      <w:r>
        <w:t>Maintain slow, spacious pacing (Arrival → Theme → Somatic Inquiry → Invitation to Stay).</w:t>
      </w:r>
    </w:p>
    <w:p>
      <w:pPr>
        <w:pStyle w:val="ListBullet"/>
      </w:pPr>
      <w:r>
        <w:t>Use rhythmic, low-tone voice to support parasympathetic settling.</w:t>
      </w:r>
    </w:p>
    <w:p>
      <w:pPr>
        <w:pStyle w:val="ListBullet"/>
      </w:pPr>
      <w:r>
        <w:t>Speak invitationally ('If it feels right to you …') rather than instructively.</w:t>
      </w:r>
    </w:p>
    <w:p>
      <w:pPr>
        <w:pStyle w:val="ListBullet"/>
      </w:pPr>
      <w:r>
        <w:t>Allow silence as a form of guidance; avoid cognitive overload.</w:t>
      </w:r>
    </w:p>
    <w:p>
      <w:pPr>
        <w:pStyle w:val="ListBullet"/>
      </w:pPr>
      <w:r>
        <w:t>Embody mindfulness qualities—letting go, impermanence, curiosity, kindness, non-judgment.</w:t>
      </w:r>
    </w:p>
    <w:p>
      <w:pPr>
        <w:pStyle w:val="ListBullet"/>
      </w:pPr>
      <w:r>
        <w:t>Hold psychological safety through steady rhythm, respect, and validation.</w:t>
      </w:r>
    </w:p>
    <w:p>
      <w:pPr>
        <w:pStyle w:val="Heading2"/>
      </w:pPr>
      <w:r>
        <w:t>Day 1 — Calibration · Returning to What’s Familiar</w:t>
      </w:r>
    </w:p>
    <w:p>
      <w:r>
        <w:t>Theme: Safety · Grounding · Orientation</w:t>
      </w:r>
    </w:p>
    <w:p>
      <w:r>
        <w:t>Title: Settling Into What’s Known</w:t>
      </w:r>
    </w:p>
    <w:p>
      <w:pPr>
        <w:pStyle w:val="ListBullet"/>
      </w:pPr>
      <w:r>
        <w:t>Instructional Flow (~15 Minutes)</w:t>
      </w:r>
    </w:p>
    <w:p>
      <w:pPr>
        <w:pStyle w:val="ListNumber"/>
      </w:pPr>
      <w:r>
        <w:t>Settling &amp; Sensing Safety — Contact with ground, breath awareness, allowing the moment to be as it is.</w:t>
      </w:r>
    </w:p>
    <w:p>
      <w:pPr>
        <w:pStyle w:val="ListNumber"/>
      </w:pPr>
      <w:r>
        <w:t>Letting a Familiar Place Emerge — Visualize a known environment; engage all senses and atmosphere.</w:t>
      </w:r>
    </w:p>
    <w:p>
      <w:pPr>
        <w:pStyle w:val="ListNumber"/>
      </w:pPr>
      <w:r>
        <w:t>Feeling Into the Body’s Response — Notice somatic memory of familiarity and the body’s physical cues.</w:t>
      </w:r>
    </w:p>
    <w:p>
      <w:pPr>
        <w:pStyle w:val="ListNumber"/>
      </w:pPr>
      <w:r>
        <w:t>Resting in the Feeling of Familiarity — Allow comfort and safety sensations to ebb and flow.</w:t>
      </w:r>
    </w:p>
    <w:p>
      <w:pPr>
        <w:pStyle w:val="Heading2"/>
      </w:pPr>
      <w:r>
        <w:t>Day 2 — Joy · Opening to Joy</w:t>
      </w:r>
    </w:p>
    <w:p>
      <w:r>
        <w:t>Theme: Lightness · Curiosity · Expansion</w:t>
      </w:r>
    </w:p>
    <w:p>
      <w:r>
        <w:t>Title: Touching Joy</w:t>
      </w:r>
    </w:p>
    <w:p>
      <w:pPr>
        <w:pStyle w:val="ListBullet"/>
      </w:pPr>
      <w:r>
        <w:t>Instructional Flow (~15 Minutes)</w:t>
      </w:r>
    </w:p>
    <w:p>
      <w:pPr>
        <w:pStyle w:val="ListNumber"/>
      </w:pPr>
      <w:r>
        <w:t>Beginning with the Breath — Soften the body, create inner spaciousness.</w:t>
      </w:r>
    </w:p>
    <w:p>
      <w:pPr>
        <w:pStyle w:val="ListNumber"/>
      </w:pPr>
      <w:r>
        <w:t>Letting Joy Arise — Invite imagery or memory of joy using sensory and emotional detail.</w:t>
      </w:r>
    </w:p>
    <w:p>
      <w:pPr>
        <w:pStyle w:val="ListNumber"/>
      </w:pPr>
      <w:r>
        <w:t>Feeling Joy in the Body — Explore physical sensations of joy—warmth, openness, movement.</w:t>
      </w:r>
    </w:p>
    <w:p>
      <w:pPr>
        <w:pStyle w:val="ListNumber"/>
      </w:pPr>
      <w:r>
        <w:t>Staying with the Experience — Hold joy without grasping or explanation; honor its impermanence.</w:t>
      </w:r>
    </w:p>
    <w:p>
      <w:pPr>
        <w:pStyle w:val="Heading2"/>
      </w:pPr>
      <w:r>
        <w:t>Day 3 — Home · Returning to the Whole Self</w:t>
      </w:r>
    </w:p>
    <w:p>
      <w:r>
        <w:t>Theme: Belonging · Wholeness · Connection</w:t>
      </w:r>
    </w:p>
    <w:p>
      <w:r>
        <w:t>Title: Coming Home</w:t>
      </w:r>
    </w:p>
    <w:p>
      <w:pPr>
        <w:pStyle w:val="ListBullet"/>
      </w:pPr>
      <w:r>
        <w:t>Instructional Flow (~15 Minutes)</w:t>
      </w:r>
    </w:p>
    <w:p>
      <w:pPr>
        <w:pStyle w:val="ListNumber"/>
      </w:pPr>
      <w:r>
        <w:t>Arriving into Presence — Awareness of sound, breath, and whole-body completeness.</w:t>
      </w:r>
    </w:p>
    <w:p>
      <w:pPr>
        <w:pStyle w:val="ListNumber"/>
      </w:pPr>
      <w:r>
        <w:t>Letting Home Be Known — Evoke sense of home—place or feeling—and its sensory qualities.</w:t>
      </w:r>
    </w:p>
    <w:p>
      <w:pPr>
        <w:pStyle w:val="ListNumber"/>
      </w:pPr>
      <w:r>
        <w:t>Feeling Home in the Body — Notice ease, gravity, inclusion of all parts of self.</w:t>
      </w:r>
    </w:p>
    <w:p>
      <w:pPr>
        <w:pStyle w:val="ListNumber"/>
      </w:pPr>
      <w:r>
        <w:t>Resting in the Return — Integrate wholeness and belonging; home as a way of being, not destination.</w:t>
      </w:r>
    </w:p>
    <w:p>
      <w:pPr>
        <w:pStyle w:val="Heading2"/>
      </w:pPr>
      <w:r>
        <w:t>Integration Note</w:t>
      </w:r>
    </w:p>
    <w:p>
      <w:r>
        <w:t>Clinicians may integrate this three-day arc within preparation, dosing, or integration phases of KAP. The progression from safety to joy to wholeness mirrors the natural arc of inner healing experiences. Facilitators are encouraged to adapt pacing, language, and imagery to the client’s readiness and the medicine’s timing, preserving the spirit of non-striving awareness.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