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Table of Contents</w:t>
      </w:r>
    </w:p>
    <w:p>
      <w:r>
        <w:fldChar w:fldCharType="begin"/>
        <w:instrText>TOC \o "1-3" \h \z \u</w:instrText>
        <w:fldChar w:fldCharType="separate"/>
        <w:fldChar w:fldCharType="end"/>
      </w:r>
    </w:p>
    <w:p>
      <w:pPr>
        <w:pStyle w:val="Heading1"/>
        <w:jc w:val="center"/>
      </w:pPr>
      <w:r>
        <w:t>Module 1 – Ketamine-Assisted Therapy</w:t>
      </w:r>
    </w:p>
    <w:p>
      <w:pPr>
        <w:jc w:val="center"/>
      </w:pPr>
      <w:r>
        <w:t>Clinician Study Guide Section: Sublingual Ketamine-Assisted Therapy (Brako, 2025)</w:t>
      </w:r>
    </w:p>
    <w:p>
      <w:pPr>
        <w:jc w:val="center"/>
      </w:pPr>
      <w:r>
        <w:t>Silver Linings Psychedelic-Assisted Therapy Study Guide — Grayscale Printer-Friendly Edition, October 2025</w:t>
      </w:r>
    </w:p>
    <w:p>
      <w:r>
        <w:br w:type="page"/>
      </w:r>
    </w:p>
    <w:p>
      <w:pPr>
        <w:pStyle w:val="Heading2"/>
      </w:pPr>
      <w:r>
        <w:t>1. Routes of Administration (ROA) and Bioavailability</w:t>
      </w:r>
    </w:p>
    <w:p>
      <w:r>
        <w:t>• Routes include IV, IM, sublingual (lozenge/troche or RDT), intranasal (Spravato), and oral.</w:t>
        <w:br/>
        <w:t>• Sublingual onset ≈ 5 min; peak ≈ 30 min; total duration ≈ 90 min with residual effects up to 5 hrs.</w:t>
        <w:br/>
        <w:t>• Clients must avoid driving post-session.</w:t>
        <w:br/>
        <w:t>• Bioavailability lower than IM/IV but not less effective; higher mg doses yield equivalent efficacy.</w:t>
        <w:br/>
        <w:t>• Typical dose: 100 mg (booster 50–100 mg, within 1st hr, per prescriber).</w:t>
        <w:br/>
        <w:t>• Lozenge held under tongue for 15 minutes without swallowing saliva.</w:t>
      </w:r>
    </w:p>
    <w:p>
      <w:pPr>
        <w:pStyle w:val="Heading2"/>
      </w:pPr>
      <w:r>
        <w:t>2. Models of Ketamine Treatment</w:t>
      </w:r>
    </w:p>
    <w:p>
      <w:r>
        <w:t>Infusion Clinics – IV/IM, medical model, minimal therapist involvement.</w:t>
        <w:br/>
        <w:t>Outpatient Spravato – Intranasal (esketamine), prescriber-supervised.</w:t>
        <w:br/>
        <w:t>At-Home Mail-In Clinics – Sublingual; telemedicine-based with variable therapeutic support.</w:t>
        <w:br/>
        <w:t>In-Person KAT – Sublingual or IM; integrated psychotherapy during dosing.</w:t>
        <w:br/>
        <w:t>Group KAT – IM/high-dose lozenges; shared psychedelic experience and group integration.</w:t>
      </w:r>
    </w:p>
    <w:p>
      <w:pPr>
        <w:pStyle w:val="Heading2"/>
      </w:pPr>
      <w:r>
        <w:t>3. Psycholytic vs Psychedelic Sessions</w:t>
      </w:r>
    </w:p>
    <w:p>
      <w:r>
        <w:t>Psycholytic (“mind-loosening”) dosing (100–200 mg): softens defenses and increases openness while maintaining communication.</w:t>
        <w:br/>
        <w:t>Psychedelic dosing (200–300 mg+): ego-dissolving, immersive states, transient aphasia possible.</w:t>
        <w:br/>
        <w:t>Gradual onset of sublingual route makes it ideal for first-time psychedelic clients.</w:t>
      </w:r>
    </w:p>
    <w:p>
      <w:pPr>
        <w:pStyle w:val="Heading2"/>
      </w:pPr>
      <w:r>
        <w:t>4. Typical Therapy Structure</w:t>
      </w:r>
    </w:p>
    <w:p>
      <w:r>
        <w:t>Session Length: ~3 hrs + 30 min buffer.</w:t>
        <w:br/>
        <w:t>Flow:</w:t>
        <w:br/>
        <w:t xml:space="preserve">  1. Hour 1 – Check-in &amp; Dosing.</w:t>
        <w:br/>
        <w:t xml:space="preserve">  2. Hour 2 – Peak/Inward Focus.</w:t>
        <w:br/>
        <w:t xml:space="preserve">  3. Hour 3 – Integration &amp; Closure.</w:t>
        <w:br/>
        <w:t xml:space="preserve">  4. Post-Session Buffer – 1 hr recommended.</w:t>
        <w:br/>
        <w:t>Treatment Arc: 2–3 prep sessions → 3–6 dosing sessions → 1–2 integration sessions → treatment review.</w:t>
        <w:br/>
        <w:t>Weekly cadence or monthly top-ups common.</w:t>
      </w:r>
    </w:p>
    <w:p>
      <w:pPr>
        <w:pStyle w:val="Heading2"/>
      </w:pPr>
      <w:r>
        <w:t>5. Therapist Role and Self-Care</w:t>
      </w:r>
    </w:p>
    <w:p>
      <w:r>
        <w:t>Maintain non-directive, grounded presence.</w:t>
        <w:br/>
        <w:t>Encourage awareness of sensations and curiosity.</w:t>
        <w:br/>
        <w:t>Be flexible: low-dose sessions may be conversational.</w:t>
        <w:br/>
        <w:t>Limit to ~1–2 KAT sessions/week to prevent burnout.</w:t>
        <w:br/>
        <w:t>Monitor transference, countertransference, and expectations.</w:t>
      </w:r>
    </w:p>
    <w:p>
      <w:pPr>
        <w:pStyle w:val="Heading2"/>
      </w:pPr>
      <w:r>
        <w:t>6. Collaboration with Prescribers and Treatment Team</w:t>
      </w:r>
    </w:p>
    <w:p>
      <w:r>
        <w:t>Prescribers determine eligibility and dose progression (100→200→300 mg typical).</w:t>
        <w:br/>
        <w:t>Therapist communicates session updates and side effects.</w:t>
        <w:br/>
        <w:t>Secure communication essential—prescriber’s DEA license is implicated.</w:t>
        <w:br/>
        <w:t>Coordinate with primary therapist (ROI signed) and normalize dual-therapy dynamics.</w:t>
        <w:br/>
        <w:t>Addiction history: start in-person/low dose; involve substance support as needed.</w:t>
      </w:r>
    </w:p>
    <w:p>
      <w:pPr>
        <w:pStyle w:val="Heading2"/>
      </w:pPr>
      <w:r>
        <w:t>7. Safety and Medical Considerations</w:t>
      </w:r>
    </w:p>
    <w:p>
      <w:r>
        <w:t>Client prep: Avoid liquids 2 hrs prior; hydrate day before.</w:t>
        <w:br/>
        <w:t>Monitor: BP (if directed), dizziness, nausea (provide emesis bag), headaches.</w:t>
        <w:br/>
        <w:t>Call 911 if: unresponsive, stroke/chest pain, severe headache, prolonged confusion/psychosis/mania.</w:t>
        <w:br/>
        <w:t>Check for cystitis, mood elevation, or suicidality post-session.</w:t>
        <w:br/>
        <w:t>Arrange support person pickup and share informed materials.</w:t>
      </w:r>
    </w:p>
    <w:p>
      <w:pPr>
        <w:pStyle w:val="Heading2"/>
      </w:pPr>
      <w:r>
        <w:t>8. Case Example</w:t>
      </w:r>
    </w:p>
    <w:p>
      <w:r>
        <w:t>Client: Biracial woman, 30s, complex trauma, adjunctive KAT (3 months).</w:t>
        <w:br/>
        <w:t>Structure: 6 prep → 3 dosing (100/200/300 mg) → 2 integrations each.</w:t>
        <w:br/>
        <w:t>Outcome: Increased compassion, forgiveness, and emotional regulation.</w:t>
        <w:br/>
        <w:t>Therapist Takeaway: Even time-limited adjunctive work can deepen attachment repair and clinician satisfaction.</w:t>
      </w:r>
    </w:p>
    <w:p>
      <w:pPr>
        <w:pStyle w:val="Heading2"/>
      </w:pPr>
      <w:r>
        <w:t>9. Integration and Review</w:t>
      </w:r>
    </w:p>
    <w:p>
      <w:r>
        <w:t>Integration within 24 hrs post-dose.</w:t>
        <w:br/>
        <w:t>Optional 15-min check-in when scheduling limits exist.</w:t>
        <w:br/>
        <w:t>Treatment Review Session: Reflect on arc, insights, remaining themes, next steps.</w:t>
        <w:br/>
        <w:t>Balance structure and flexibility to prioritize psychological safety.</w:t>
      </w:r>
    </w:p>
    <w:p>
      <w:r>
        <w:rPr>
          <w:b/>
        </w:rPr>
        <w:t>Section 2.6 — Group Seminar Reflections on Ketamine Therapy</w:t>
      </w:r>
    </w:p>
    <w:p>
      <w:r>
        <w:t>Source: Group Seminar 1 (May 28, 2025, C8PATT2025) — Facilitators: Emily McKay &amp; Jaime Davila</w:t>
      </w:r>
    </w:p>
    <w:p>
      <w:r>
        <w:t>Duration: 1 hr 39 min   Participants: Blair (client), Jaime Davila (therapist), Emily McKay (facilitator), group students</w:t>
      </w:r>
    </w:p>
    <w:p>
      <w:r>
        <w:t>Silver Linings Study Guide Edition: Grayscale | October 2025 | Page continuation</w:t>
      </w:r>
    </w:p>
    <w:p>
      <w:r>
        <w:rPr>
          <w:b/>
        </w:rPr>
        <w:t>Overview</w:t>
      </w:r>
    </w:p>
    <w:p>
      <w:r>
        <w:t>This live-training seminar analyzed the unfolding of Blair’s ketamine series addressing treatment-resistant depression. The session centered on relational dynamics, self-compassion, dosing awareness, and somatic integration. Clips highlighted rapport-building, psycholytic-tail work, and follow-up integration sessions.</w:t>
      </w:r>
    </w:p>
    <w:p>
      <w:r>
        <w:rPr>
          <w:b/>
        </w:rPr>
        <w:t>Core Clinical Themes</w:t>
      </w:r>
    </w:p>
    <w:p>
      <w:r>
        <w:t>• Embodiment and Somatic Inquiry — Begin post-medicine dialogue with 'How does your body feel?' to re-orient clients.</w:t>
        <w:br/>
        <w:t>• Expansion ↔ Contraction — Normalize non-linear healing cycles of openness and contraction.</w:t>
        <w:br/>
        <w:t>• Holding Space vs. Directing — Lean into silence and inner intelligence.</w:t>
        <w:br/>
        <w:t>• Trust and Control — Track client’s control dynamics and provide grounding.</w:t>
        <w:br/>
        <w:t>• Integration as Embodied Learning — Reinforce experiential body memory.</w:t>
      </w:r>
    </w:p>
    <w:p>
      <w:r>
        <w:rPr>
          <w:b/>
        </w:rPr>
        <w:t>Dosing and Process Insights</w:t>
      </w:r>
    </w:p>
    <w:p>
      <w:r>
        <w:t>Typical protocol: 0.5 mg/kg IV, 6 sessions (2/week × 3 weeks) + weekly integration. Higher doses aren't inherently better; clarity and integration matter most. Encourage dose reflection with prescribers and normalize session variability.</w:t>
      </w:r>
    </w:p>
    <w:p>
      <w:r>
        <w:rPr>
          <w:b/>
        </w:rPr>
        <w:t>Somatic and Relational Dimensions</w:t>
      </w:r>
    </w:p>
    <w:p>
      <w:r>
        <w:t>Blair’s bodily imagery (e.g., 'I was all tongue,' 'anchored like a tree') illustrated embodied awareness. Encourage physical stillness and minimal verbal prompting. Support somatic safety through pillows, weighted blankets, and gentle touch within scope.</w:t>
      </w:r>
    </w:p>
    <w:p>
      <w:r>
        <w:rPr>
          <w:b/>
        </w:rPr>
        <w:t>Integration Strategies</w:t>
      </w:r>
    </w:p>
    <w:p>
      <w:r>
        <w:t>Record sessions for client reflection. Encourage journaling, community feedback, and tracking small behavioral shifts. Normalize emotional vulnerability post-session and use sensory anchors (breath, scent, gesture) to sustain states.</w:t>
      </w:r>
    </w:p>
    <w:p>
      <w:r>
        <w:rPr>
          <w:b/>
        </w:rPr>
        <w:t>Therapist Learning Reflections</w:t>
      </w:r>
    </w:p>
    <w:p>
      <w:r>
        <w:t>Personal experience with ketamine builds empathy for silence and space. Facilitate within clinical boundaries while fostering creativity and embodiment. Integration is the core of lasting transformation.</w:t>
      </w:r>
    </w:p>
    <w:p>
      <w:r>
        <w:rPr>
          <w:b/>
        </w:rPr>
        <w:t>Key Quotes</w:t>
      </w:r>
    </w:p>
    <w:p>
      <w:r>
        <w:t>“Ketamine slows everything down… How do I lean back and not fill the silence?” — Jaime Davila</w:t>
        <w:br/>
        <w:t>“The client may feel powerful in the medicine, but blown around in the world. Our job is to help them find an anchor.” — Emily McKay</w:t>
        <w:br/>
        <w:t>“Healing is non-linear—expansion and contraction are both progress.” — Seminar Reflection</w:t>
      </w:r>
    </w:p>
    <w:p>
      <w:r>
        <w:rPr>
          <w:b/>
        </w:rPr>
        <w:t>Clinical Takeaways</w:t>
      </w:r>
    </w:p>
    <w:p>
      <w:r>
        <w:t>• Begin integration with somatic grounding.</w:t>
        <w:br/>
        <w:t>• Use open, flexible intentions.</w:t>
        <w:br/>
        <w:t>• Prepare for emotional contractions.</w:t>
        <w:br/>
        <w:t>• Balance dose optimization with readiness.</w:t>
        <w:br/>
        <w:t>• Track relational growth and embodied resilience.</w:t>
      </w:r>
    </w:p>
    <w:p>
      <w:r>
        <w:rPr>
          <w:b/>
        </w:rPr>
        <w:t>Reference</w:t>
      </w:r>
    </w:p>
    <w:p>
      <w:r>
        <w:t>McKay, E., &amp; Davila, J. (2025, May 28). Group Seminar 1 (C8PATT2025): Blair’s Ketamine-Assisted Therapy Process and Integration. My Psychiatry Institute. Transcript Duration 1:39:17.</w:t>
      </w:r>
    </w:p>
    <w:p>
      <w:pPr>
        <w:pStyle w:val="Heading1"/>
      </w:pPr>
      <w:r>
        <w:t>Section 2.6 — Group Seminar 2: Navigating Expansion &amp; Contraction in KAP</w:t>
      </w:r>
    </w:p>
    <w:p>
      <w:r>
        <w:br w:type="page"/>
      </w:r>
    </w:p>
    <w:sectPr w:rsidR="00FC693F" w:rsidRPr="0006063C" w:rsidSect="00034616">
      <w:footerReference w:type="default" r:id="rId9"/>
      <w:pgSz w:w="12240" w:h="15840"/>
      <w:pgMar w:top="1440" w:right="1800" w:bottom="1440" w:left="1800" w:header="720" w:footer="720" w:gutter="0"/>
      <w:cols w:space="720"/>
      <w:docGrid w:linePitch="360"/>
    </w:sectPr>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sectPr w:rsidR="00FC693F" w:rsidRPr="0006063C" w:rsidSect="00034616">
      <w:pgSz w:w="12240" w:h="15840"/>
      <w:pgMar w:top="1440" w:right="1800" w:bottom="1440" w:left="1800" w:header="720" w:footer="720" w:gutter="0"/>
      <w:cols w:space="720"/>
      <w:docGrid w:linePitch="360"/>
    </w:sectPr>
    <w:p>
      <w:r>
        <w:br/>
        <w:t>— Silver Linings Psychedelic-Assisted Therapy Study Guide — Section 2.6 | October 2025 — Grayscale Edition —</w:t>
      </w:r>
    </w:p>
    <w:p>
      <w:pPr>
        <w:pStyle w:val="ListBullet"/>
      </w:pPr>
      <w:r>
        <w:t>Brief EMDR Tappers as sensory anchors during integration sessions.</w:t>
      </w:r>
    </w:p>
    <w:p>
      <w:pPr>
        <w:pStyle w:val="ListBullet"/>
      </w:pPr>
      <w:r>
        <w:t>Relational Gestalt Dialogue for embodied authenticity.</w:t>
      </w:r>
    </w:p>
    <w:p>
      <w:pPr>
        <w:pStyle w:val="ListBullet"/>
      </w:pPr>
      <w:r>
        <w:t>Expressive Arts Therapy (movement, dance).</w:t>
      </w:r>
    </w:p>
    <w:p>
      <w:pPr>
        <w:pStyle w:val="ListBullet"/>
      </w:pPr>
      <w:r>
        <w:t>Somatic Experiencing and Internal Family Systems (IFS) for pendulation work.</w:t>
      </w:r>
    </w:p>
    <w:p>
      <w:pPr>
        <w:pStyle w:val="Heading2"/>
      </w:pPr>
      <w:r>
        <w:t>Suggested Integrative Modalities</w:t>
      </w:r>
    </w:p>
    <w:p>
      <w:r>
        <w:t>PHQ-9: 14 → 6  PCL-5: 32 → 26</w:t>
        <w:br/>
        <w:t>Client Metaphor: “From ash to wood” — symbolizing structural self-fortification and emotional grounding.</w:t>
      </w:r>
    </w:p>
    <w:p>
      <w:pPr>
        <w:pStyle w:val="Heading2"/>
      </w:pPr>
      <w:r>
        <w:t>Outcomes</w:t>
      </w:r>
    </w:p>
    <w:p>
      <w:pPr>
        <w:pStyle w:val="ListNumber"/>
      </w:pPr>
      <w:r>
        <w:t>Anchoring Through the Senses: Smell, posture, or gesture can embed new neural patterns for later retrieval.</w:t>
      </w:r>
    </w:p>
    <w:p>
      <w:pPr>
        <w:pStyle w:val="ListNumber"/>
      </w:pPr>
      <w:r>
        <w:t>Avoiding 'Chasing the Perfect Journey': Reframe each session as a rehearsal in surrender rather than outcome optimization.</w:t>
      </w:r>
    </w:p>
    <w:p>
      <w:pPr>
        <w:pStyle w:val="ListNumber"/>
      </w:pPr>
      <w:r>
        <w:t>Integration Beyond the Room: Encourage journaling, somatic movement (e.g., dance of 'ash to wood'), and community feedback loops.</w:t>
      </w:r>
    </w:p>
    <w:p>
      <w:pPr>
        <w:pStyle w:val="ListNumber"/>
      </w:pPr>
      <w:r>
        <w:t>Witnessing Identity Reconstruction: Normalize contraction and de-shaming of visibility for professionals in group KAP.</w:t>
      </w:r>
    </w:p>
    <w:p>
      <w:pPr>
        <w:pStyle w:val="ListNumber"/>
      </w:pPr>
      <w:r>
        <w:t>Holding Space vs. Doing: Many sessions are silent; the therapeutic art lies in attuned presence, not intervention.</w:t>
      </w:r>
    </w:p>
    <w:p>
      <w:pPr>
        <w:pStyle w:val="Heading2"/>
      </w:pPr>
      <w:r>
        <w:t>Clinician Reflection Points</w:t>
      </w:r>
    </w:p>
    <w:tbl>
      <w:tblPr>
        <w:tblW w:type="auto" w:w="0"/>
        <w:tblLook w:firstColumn="1" w:firstRow="1" w:lastColumn="0" w:lastRow="0" w:noHBand="0" w:noVBand="1" w:val="04A0"/>
      </w:tblPr>
      <w:tblGrid>
        <w:gridCol w:w="2880"/>
        <w:gridCol w:w="2880"/>
        <w:gridCol w:w="2880"/>
      </w:tblGrid>
      <w:tr>
        <w:tc>
          <w:tcPr>
            <w:tcW w:type="dxa" w:w="2880"/>
          </w:tcPr>
          <w:p>
            <w:r>
              <w:t>Theme</w:t>
            </w:r>
          </w:p>
        </w:tc>
        <w:tc>
          <w:tcPr>
            <w:tcW w:type="dxa" w:w="2880"/>
          </w:tcPr>
          <w:p>
            <w:r>
              <w:t>Clinical Example</w:t>
            </w:r>
          </w:p>
        </w:tc>
        <w:tc>
          <w:tcPr>
            <w:tcW w:type="dxa" w:w="2880"/>
          </w:tcPr>
          <w:p>
            <w:r>
              <w:t>Integration Strategy</w:t>
            </w:r>
          </w:p>
        </w:tc>
      </w:tr>
      <w:tr>
        <w:tc>
          <w:tcPr>
            <w:tcW w:type="dxa" w:w="2880"/>
          </w:tcPr>
          <w:p>
            <w:r>
              <w:t>Self-Compassion &amp; Worthiness</w:t>
            </w:r>
          </w:p>
        </w:tc>
        <w:tc>
          <w:tcPr>
            <w:tcW w:type="dxa" w:w="2880"/>
          </w:tcPr>
          <w:p>
            <w:r>
              <w:t>Blair’s difficulty sustaining love post-journey</w:t>
            </w:r>
          </w:p>
        </w:tc>
        <w:tc>
          <w:tcPr>
            <w:tcW w:type="dxa" w:w="2880"/>
          </w:tcPr>
          <w:p>
            <w:r>
              <w:t>Normalize oscillation; invite micro-moments of self-acceptance.</w:t>
            </w:r>
          </w:p>
        </w:tc>
      </w:tr>
      <w:tr>
        <w:tc>
          <w:tcPr>
            <w:tcW w:type="dxa" w:w="2880"/>
          </w:tcPr>
          <w:p>
            <w:r>
              <w:t>Resistance to Change</w:t>
            </w:r>
          </w:p>
        </w:tc>
        <w:tc>
          <w:tcPr>
            <w:tcW w:type="dxa" w:w="2880"/>
          </w:tcPr>
          <w:p>
            <w:r>
              <w:t>Rebuilding walls after social backlash</w:t>
            </w:r>
          </w:p>
        </w:tc>
        <w:tc>
          <w:tcPr>
            <w:tcW w:type="dxa" w:w="2880"/>
          </w:tcPr>
          <w:p>
            <w:r>
              <w:t>Frame regression as part of pendulation; emphasize sovereignty.</w:t>
            </w:r>
          </w:p>
        </w:tc>
      </w:tr>
      <w:tr>
        <w:tc>
          <w:tcPr>
            <w:tcW w:type="dxa" w:w="2880"/>
          </w:tcPr>
          <w:p>
            <w:r>
              <w:t>Default Mode Network (DMN) Reactivation</w:t>
            </w:r>
          </w:p>
        </w:tc>
        <w:tc>
          <w:tcPr>
            <w:tcW w:type="dxa" w:w="2880"/>
          </w:tcPr>
          <w:p>
            <w:r>
              <w:t>Over-analysis and guilt narratives</w:t>
            </w:r>
          </w:p>
        </w:tc>
        <w:tc>
          <w:tcPr>
            <w:tcW w:type="dxa" w:w="2880"/>
          </w:tcPr>
          <w:p>
            <w:r>
              <w:t>Redirect attention to bodily relaxation, creative expression, and relational feedback.</w:t>
            </w:r>
          </w:p>
        </w:tc>
      </w:tr>
      <w:tr>
        <w:tc>
          <w:tcPr>
            <w:tcW w:type="dxa" w:w="2880"/>
          </w:tcPr>
          <w:p>
            <w:r>
              <w:t>Dose Awareness</w:t>
            </w:r>
          </w:p>
        </w:tc>
        <w:tc>
          <w:tcPr>
            <w:tcW w:type="dxa" w:w="2880"/>
          </w:tcPr>
          <w:p>
            <w:r>
              <w:t>0.5 mg/kg IV with 5–10 mg titrations</w:t>
            </w:r>
          </w:p>
        </w:tc>
        <w:tc>
          <w:tcPr>
            <w:tcW w:type="dxa" w:w="2880"/>
          </w:tcPr>
          <w:p>
            <w:r>
              <w:t>Track 'usable insight' vs. confusion; collaborate with prescriber on optimal range.</w:t>
            </w:r>
          </w:p>
        </w:tc>
      </w:tr>
      <w:tr>
        <w:tc>
          <w:tcPr>
            <w:tcW w:type="dxa" w:w="2880"/>
          </w:tcPr>
          <w:p>
            <w:r>
              <w:t>Non-Linear Healing</w:t>
            </w:r>
          </w:p>
        </w:tc>
        <w:tc>
          <w:tcPr>
            <w:tcW w:type="dxa" w:w="2880"/>
          </w:tcPr>
          <w:p>
            <w:r>
              <w:t>Fluctuations between openness and contraction</w:t>
            </w:r>
          </w:p>
        </w:tc>
        <w:tc>
          <w:tcPr>
            <w:tcW w:type="dxa" w:w="2880"/>
          </w:tcPr>
          <w:p>
            <w:r>
              <w:t>Educate clients that healing ≠ linear; use metaphors (accordion, ash→wood).</w:t>
            </w:r>
          </w:p>
        </w:tc>
      </w:tr>
    </w:tbl>
    <w:p>
      <w:pPr>
        <w:pStyle w:val="Heading2"/>
      </w:pPr>
      <w:r>
        <w:t>Key Therapeutic Themes</w:t>
      </w:r>
    </w:p>
    <w:p>
      <w:pPr>
        <w:pStyle w:val="ListBullet"/>
      </w:pPr>
      <w:r>
        <w:t>Anchoring Practice: Jaime used scent (sage / palo santo) as a sensory anchor for 'flipped-switch' states, reinforcing embodied recall.</w:t>
      </w:r>
    </w:p>
    <w:p>
      <w:pPr>
        <w:pStyle w:val="ListBullet"/>
      </w:pPr>
      <w:r>
        <w:t>Expansion → Contraction: After initial breakthroughs, Blair encountered relational tension as he dropped defenses. Therapists normalized this oscillation, framing it as a universal nonlinear cycle of healing.</w:t>
      </w:r>
    </w:p>
    <w:p>
      <w:pPr>
        <w:pStyle w:val="ListBullet"/>
      </w:pPr>
      <w:r>
        <w:t>The Tongue Episode: Blair’s focus on his tongue symbolized primal embodiment and challenged cognitive dominance.</w:t>
      </w:r>
    </w:p>
    <w:p>
      <w:pPr>
        <w:pStyle w:val="ListBullet"/>
      </w:pPr>
      <w:r>
        <w:t>Embodied Inquiry: Jaime consistently invited Blair to explore sensations (“How does your body feel?”), encouraging a shift from intellectualization toward somatic awareness.</w:t>
      </w:r>
    </w:p>
    <w:p>
      <w:pPr>
        <w:pStyle w:val="Heading2"/>
      </w:pPr>
      <w:r>
        <w:t>Clinical Focus</w:t>
      </w:r>
    </w:p>
    <w:p>
      <w:r>
        <w:t>Facilitators Emily McKay and Jaime Davila continued the case study of Blair, a dancer with treatment-resistant depression. This second seminar illuminated the therapeutic rhythm of expansion and contraction, the challenges of integrating peak experiences into daily life, and the therapist’s role in supporting embodiment and sustained change.</w:t>
      </w:r>
    </w:p>
    <w:p>
      <w:pPr>
        <w:pStyle w:val="Heading2"/>
      </w:pPr>
      <w:r>
        <w:t>Overview</w:t>
      </w:r>
    </w:p>
    <w:p>
      <w:r>
        <w:t>Silver Linings Psychedelic-Assisted Therapy Study Guide — Clinician Edition</w:t>
        <w:br/>
        <w:t>Grayscale | © Silver Linings | Date: October 2025</w:t>
      </w:r>
    </w:p>
    <w:p>
      <w:r>
        <w:rPr>
          <w:i/>
        </w:rPr>
        <w:t>The Rhythms of Growth, Integration, and Embodiment</w:t>
      </w:r>
    </w:p>
    <w:p>
      <w:pPr>
        <w:pStyle w:val="Heading1"/>
      </w:pPr>
      <w:r>
        <w:t>Section 2.6 — Group Seminar 2 (May 29, 2025, 9 AM MT)</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p>
      <w:pPr>
        <w:pStyle w:val="Heading1"/>
        <w:jc w:val="center"/>
      </w:pPr>
      <w:r>
        <w:t>Section 3.4 — Behavioral Psychedelics: Integrating Mind and Behavior to Improve Health and Resilience</w:t>
      </w:r>
    </w:p>
    <w:p>
      <w:pPr>
        <w:spacing w:after="240"/>
        <w:jc w:val="center"/>
      </w:pPr>
      <w:r>
        <w:t>Linking neuroplasticity and intentional behavior change to strengthen resilience and health.</w:t>
      </w:r>
    </w:p>
    <w:p>
      <w:r>
        <w:t>Neuhaus EC &amp; Slavich GM (2022). Frontiers in Psychiatry, 13:821208. (Grayscale edition with Silver Linings footer — March 2022)</w:t>
      </w:r>
    </w:p>
    <w:p>
      <w:pPr>
        <w:pStyle w:val="Heading2"/>
      </w:pPr>
      <w:r>
        <w:t>Core Concept</w:t>
      </w:r>
    </w:p>
    <w:p>
      <w:r>
        <w:t>Neuhaus and Slavich introduce the term behavioral psychedelics, describing the use of psychedelic compounds specifically to foster intentional, lasting changes in habits and behaviors that improve health and resilience. They emphasize that while psychedelics may temporarily enhance psychological flexibility, sustained transformation depends on integrating these experiences into actionable lifestyle shifts.</w:t>
      </w:r>
    </w:p>
    <w:p>
      <w:pPr>
        <w:pStyle w:val="Heading2"/>
      </w:pPr>
      <w:r>
        <w:t>Key Points</w:t>
      </w:r>
    </w:p>
    <w:p>
      <w:r>
        <w:rPr>
          <w:b/>
        </w:rPr>
        <w:t xml:space="preserve">Public-health context: </w:t>
      </w:r>
      <w:r>
        <w:t>Chronic diseases (heart disease, cancer, diabetes, depression, PTSD, addiction) now account for most disability and deaths, yet are driven largely by behavior rather than genetics. Psychedelics may offer a new route to modifying rigid, maladaptive behavioral patterns underlying these conditions.</w:t>
      </w:r>
    </w:p>
    <w:p>
      <w:r>
        <w:rPr>
          <w:b/>
        </w:rPr>
        <w:t xml:space="preserve">Therapeutic opportunity: </w:t>
      </w:r>
      <w:r>
        <w:t>Compounds such as MDMA and psilocybin, when paired with psychotherapy, can increase openness, insight, and neuroplasticity, providing a window for behavioral recalibration.</w:t>
      </w:r>
    </w:p>
    <w:p>
      <w:r>
        <w:rPr>
          <w:b/>
        </w:rPr>
        <w:t xml:space="preserve">Behavioral Psychedelics Model: </w:t>
      </w:r>
      <w:r>
        <w:t>A structured framework combining:</w:t>
        <w:br/>
        <w:t>1. Preparation — Identify dysfunctional patterns and define clear life goals.</w:t>
        <w:br/>
        <w:t>2. Experience — Use the psychedelic session to open new cognitive-emotional flexibility.</w:t>
        <w:br/>
        <w:t>3. Integration — Translate insights into concrete, measurable habit changes.</w:t>
        <w:br/>
        <w:t>The model stresses self-reinforcing cycles of planning, action, and motivation, allowing healthier patterns to sustain themselves over time.</w:t>
      </w:r>
    </w:p>
    <w:p>
      <w:r>
        <w:rPr>
          <w:b/>
        </w:rPr>
        <w:t xml:space="preserve">Clinical implications: </w:t>
      </w:r>
      <w:r>
        <w:t>Providers are encouraged to treat behavior itself as a target variable—tracking measurable outcomes like self-care, social connection, and role functioning.</w:t>
      </w:r>
    </w:p>
    <w:p>
      <w:pPr>
        <w:pStyle w:val="Heading2"/>
      </w:pPr>
      <w:r>
        <w:t>Future Directions</w:t>
      </w:r>
    </w:p>
    <w:p>
      <w:r>
        <w:t>Research must clarify:</w:t>
        <w:br/>
        <w:t>- Optimal compound–diagnosis matches (e.g., which psychedelic for which condition).</w:t>
        <w:br/>
        <w:t>- Comparative efficacy of directive vs. non-directive and individual vs. group methods.</w:t>
        <w:br/>
        <w:t>- Mechanisms by which neuroplasticity translates to sustained behavioral change.</w:t>
        <w:br/>
        <w:t>- Strategies to support clients returning to unchanged or unhealthy environments post-session.</w:t>
        <w:br/>
        <w:t>- Models to ensure accessibility, scalability, and cost-effectiveness.</w:t>
      </w:r>
    </w:p>
    <w:p>
      <w:pPr>
        <w:pStyle w:val="Heading2"/>
      </w:pPr>
      <w:r>
        <w:t>Clinical Reflection</w:t>
      </w:r>
    </w:p>
    <w:p>
      <w:r>
        <w:t>Behavioral psychedelics reposition the therapist’s role—from guiding temporary insight to scaffolding enduring behavior change. Integration becomes not just a reflective phase but a behavioral-training period, transforming flexibility into function.</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Silver Linings © 2025 | www.silverlinings-therapy.com | Adapted from Brako, M. (2025) IPI Sublingual KAT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