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40"/>
        </w:rPr>
        <w:t>Silver Linings Psychedelic-Assisted Therapy Study Guide</w:t>
      </w:r>
    </w:p>
    <w:p>
      <w:pPr>
        <w:jc w:val="center"/>
      </w:pPr>
      <w:r>
        <w:rPr>
          <w:color w:val="6A5ACD"/>
          <w:sz w:val="28"/>
        </w:rPr>
        <w:t>Module 2 – Ketamine Foundations</w:t>
        <w:br/>
        <w:t>Section 2.1 – Sublingual Ketamine-Assisted Therapy (Psycholytic Model)</w:t>
      </w:r>
    </w:p>
    <w:p>
      <w:pPr>
        <w:jc w:val="center"/>
      </w:pPr>
      <w:r>
        <w:t>October 2025 Edition</w:t>
      </w:r>
    </w:p>
    <w:p>
      <w:r>
        <w:br w:type="page"/>
      </w:r>
    </w:p>
    <w:p>
      <w:r>
        <w:rPr>
          <w:b/>
          <w:color w:val="2C3E50"/>
        </w:rPr>
        <w:t>Preface</w:t>
        <w:br/>
      </w:r>
      <w:r>
        <w:t>This section summarizes Margaret Brako, LCSW’s (2025) presentation from the Integrative Psychiatry Institute on Sublingual Ketamine-Assisted Therapy. It highlights clinical and psychotherapeutic best practices for implementing sublingual ketamine within a psycholytic framework. The material supports Silver Linings facilitators and clinicians in differentiating medical versus therapy-based models, structuring safe preparation and integration sessions, and optimizing collaboration with prescribing partners. Color coding is used to clarify pharmacologic versus psychotherapeutic concepts.</w:t>
      </w:r>
    </w:p>
    <w:p/>
    <w:p>
      <w:r>
        <w:rPr>
          <w:b/>
          <w:color w:val="6A5ACD"/>
        </w:rPr>
        <w:t>Learning Objectives</w:t>
      </w:r>
    </w:p>
    <w:p>
      <w:r>
        <w:t>• Compare sublingual ketamine with other routes of administration (ROAs) and treatment models.</w:t>
      </w:r>
    </w:p>
    <w:p>
      <w:r>
        <w:t>• Identify the unique components of psycholytic ketamine sessions.</w:t>
      </w:r>
    </w:p>
    <w:p>
      <w:r>
        <w:t>• Describe best practices for working with a treatment team and maintaining safety in sessions.</w:t>
      </w:r>
    </w:p>
    <w:p/>
    <w:p>
      <w:r>
        <w:rPr>
          <w:b/>
          <w:color w:val="6A5ACD"/>
        </w:rPr>
        <w:t>Table 1. Routes of Administration</w:t>
      </w:r>
    </w:p>
    <w:tbl>
      <w:tblPr>
        <w:tblW w:type="auto" w:w="0"/>
        <w:tblLook w:firstColumn="1" w:firstRow="1" w:lastColumn="0" w:lastRow="0" w:noHBand="0" w:noVBand="1" w:val="04A0"/>
      </w:tblPr>
      <w:tblGrid>
        <w:gridCol w:w="2880"/>
        <w:gridCol w:w="2880"/>
        <w:gridCol w:w="2880"/>
      </w:tblGrid>
      <w:tr>
        <w:tc>
          <w:tcPr>
            <w:tcW w:type="dxa" w:w="2880"/>
          </w:tcPr>
          <w:p>
            <w:r>
              <w:t>Route of Administration</w:t>
            </w:r>
          </w:p>
        </w:tc>
        <w:tc>
          <w:tcPr>
            <w:tcW w:type="dxa" w:w="2880"/>
          </w:tcPr>
          <w:p>
            <w:r>
              <w:t>Bioavailability</w:t>
            </w:r>
          </w:p>
        </w:tc>
        <w:tc>
          <w:tcPr>
            <w:tcW w:type="dxa" w:w="2880"/>
          </w:tcPr>
          <w:p>
            <w:r>
              <w:t>Notes</w:t>
            </w:r>
          </w:p>
        </w:tc>
      </w:tr>
      <w:tr>
        <w:tc>
          <w:tcPr>
            <w:tcW w:type="dxa" w:w="2880"/>
          </w:tcPr>
          <w:p>
            <w:r>
              <w:t>IV Infusion</w:t>
            </w:r>
          </w:p>
        </w:tc>
        <w:tc>
          <w:tcPr>
            <w:tcW w:type="dxa" w:w="2880"/>
          </w:tcPr>
          <w:p>
            <w:r>
              <w:t>100%</w:t>
            </w:r>
          </w:p>
        </w:tc>
        <w:tc>
          <w:tcPr>
            <w:tcW w:type="dxa" w:w="2880"/>
          </w:tcPr>
          <w:p>
            <w:r>
              <w:t>Full systemic availability; used in infusion clinics.</w:t>
            </w:r>
          </w:p>
        </w:tc>
      </w:tr>
      <w:tr>
        <w:tc>
          <w:tcPr>
            <w:tcW w:type="dxa" w:w="2880"/>
          </w:tcPr>
          <w:p>
            <w:r>
              <w:t>IM Injection</w:t>
            </w:r>
          </w:p>
        </w:tc>
        <w:tc>
          <w:tcPr>
            <w:tcW w:type="dxa" w:w="2880"/>
          </w:tcPr>
          <w:p>
            <w:r>
              <w:t>93%</w:t>
            </w:r>
          </w:p>
        </w:tc>
        <w:tc>
          <w:tcPr>
            <w:tcW w:type="dxa" w:w="2880"/>
          </w:tcPr>
          <w:p>
            <w:r>
              <w:t>Rapid onset; suitable for in-person KAT.</w:t>
            </w:r>
          </w:p>
        </w:tc>
      </w:tr>
      <w:tr>
        <w:tc>
          <w:tcPr>
            <w:tcW w:type="dxa" w:w="2880"/>
          </w:tcPr>
          <w:p>
            <w:r>
              <w:t>Intranasal (Esketamine/Spravato)</w:t>
            </w:r>
          </w:p>
        </w:tc>
        <w:tc>
          <w:tcPr>
            <w:tcW w:type="dxa" w:w="2880"/>
          </w:tcPr>
          <w:p>
            <w:r>
              <w:t>40–50%</w:t>
            </w:r>
          </w:p>
        </w:tc>
        <w:tc>
          <w:tcPr>
            <w:tcW w:type="dxa" w:w="2880"/>
          </w:tcPr>
          <w:p>
            <w:r>
              <w:t>FDA-approved nasal form.</w:t>
            </w:r>
          </w:p>
        </w:tc>
      </w:tr>
      <w:tr>
        <w:tc>
          <w:tcPr>
            <w:tcW w:type="dxa" w:w="2880"/>
          </w:tcPr>
          <w:p>
            <w:r>
              <w:t>Sublingual (troches/lozenges)</w:t>
            </w:r>
          </w:p>
        </w:tc>
        <w:tc>
          <w:tcPr>
            <w:tcW w:type="dxa" w:w="2880"/>
          </w:tcPr>
          <w:p>
            <w:r>
              <w:t>25–40%</w:t>
            </w:r>
          </w:p>
        </w:tc>
        <w:tc>
          <w:tcPr>
            <w:tcW w:type="dxa" w:w="2880"/>
          </w:tcPr>
          <w:p>
            <w:r>
              <w:t>Common for at-home or therapy-assisted sessions.</w:t>
            </w:r>
          </w:p>
        </w:tc>
      </w:tr>
      <w:tr>
        <w:tc>
          <w:tcPr>
            <w:tcW w:type="dxa" w:w="2880"/>
          </w:tcPr>
          <w:p>
            <w:r>
              <w:t>Rectal Suppository</w:t>
            </w:r>
          </w:p>
        </w:tc>
        <w:tc>
          <w:tcPr>
            <w:tcW w:type="dxa" w:w="2880"/>
          </w:tcPr>
          <w:p>
            <w:r>
              <w:t>25–40%</w:t>
            </w:r>
          </w:p>
        </w:tc>
        <w:tc>
          <w:tcPr>
            <w:tcW w:type="dxa" w:w="2880"/>
          </w:tcPr>
          <w:p>
            <w:r>
              <w:t>Less common, alternative route.</w:t>
            </w:r>
          </w:p>
        </w:tc>
      </w:tr>
      <w:tr>
        <w:tc>
          <w:tcPr>
            <w:tcW w:type="dxa" w:w="2880"/>
          </w:tcPr>
          <w:p>
            <w:r>
              <w:t>Oral (tablets/liquid)</w:t>
            </w:r>
          </w:p>
        </w:tc>
        <w:tc>
          <w:tcPr>
            <w:tcW w:type="dxa" w:w="2880"/>
          </w:tcPr>
          <w:p>
            <w:r>
              <w:t>15–25%</w:t>
            </w:r>
          </w:p>
        </w:tc>
        <w:tc>
          <w:tcPr>
            <w:tcW w:type="dxa" w:w="2880"/>
          </w:tcPr>
          <w:p>
            <w:r>
              <w:t>Most metabolized before absorption.</w:t>
            </w:r>
          </w:p>
        </w:tc>
      </w:tr>
    </w:tbl>
    <w:p/>
    <w:p>
      <w:r>
        <w:rPr>
          <w:b/>
          <w:color w:val="6A5ACD"/>
        </w:rPr>
        <w:t>Table 2. Models of Treatment</w:t>
      </w:r>
    </w:p>
    <w:tbl>
      <w:tblPr>
        <w:tblW w:type="auto" w:w="0"/>
        <w:tblLook w:firstColumn="1" w:firstRow="1" w:lastColumn="0" w:lastRow="0" w:noHBand="0" w:noVBand="1" w:val="04A0"/>
      </w:tblPr>
      <w:tblGrid>
        <w:gridCol w:w="2160"/>
        <w:gridCol w:w="2160"/>
        <w:gridCol w:w="2160"/>
        <w:gridCol w:w="2160"/>
      </w:tblGrid>
      <w:tr>
        <w:tc>
          <w:tcPr>
            <w:tcW w:type="dxa" w:w="2160"/>
          </w:tcPr>
          <w:p>
            <w:r>
              <w:t>Model</w:t>
            </w:r>
          </w:p>
        </w:tc>
        <w:tc>
          <w:tcPr>
            <w:tcW w:type="dxa" w:w="2160"/>
          </w:tcPr>
          <w:p>
            <w:r>
              <w:t>Route</w:t>
            </w:r>
          </w:p>
        </w:tc>
        <w:tc>
          <w:tcPr>
            <w:tcW w:type="dxa" w:w="2160"/>
          </w:tcPr>
          <w:p>
            <w:r>
              <w:t>Setting</w:t>
            </w:r>
          </w:p>
        </w:tc>
        <w:tc>
          <w:tcPr>
            <w:tcW w:type="dxa" w:w="2160"/>
          </w:tcPr>
          <w:p>
            <w:r>
              <w:t>Description</w:t>
            </w:r>
          </w:p>
        </w:tc>
      </w:tr>
      <w:tr>
        <w:tc>
          <w:tcPr>
            <w:tcW w:type="dxa" w:w="2160"/>
          </w:tcPr>
          <w:p>
            <w:r>
              <w:t>Infusion Clinics</w:t>
            </w:r>
          </w:p>
        </w:tc>
        <w:tc>
          <w:tcPr>
            <w:tcW w:type="dxa" w:w="2160"/>
          </w:tcPr>
          <w:p>
            <w:r>
              <w:t>IV</w:t>
            </w:r>
          </w:p>
        </w:tc>
        <w:tc>
          <w:tcPr>
            <w:tcW w:type="dxa" w:w="2160"/>
          </w:tcPr>
          <w:p>
            <w:r>
              <w:t>Medical office</w:t>
            </w:r>
          </w:p>
        </w:tc>
        <w:tc>
          <w:tcPr>
            <w:tcW w:type="dxa" w:w="2160"/>
          </w:tcPr>
          <w:p>
            <w:r>
              <w:t>Primarily pharmacologic model.</w:t>
            </w:r>
          </w:p>
        </w:tc>
      </w:tr>
      <w:tr>
        <w:tc>
          <w:tcPr>
            <w:tcW w:type="dxa" w:w="2160"/>
          </w:tcPr>
          <w:p>
            <w:r>
              <w:t>Outpatient</w:t>
            </w:r>
          </w:p>
        </w:tc>
        <w:tc>
          <w:tcPr>
            <w:tcW w:type="dxa" w:w="2160"/>
          </w:tcPr>
          <w:p>
            <w:r>
              <w:t>Intranasal</w:t>
            </w:r>
          </w:p>
        </w:tc>
        <w:tc>
          <w:tcPr>
            <w:tcW w:type="dxa" w:w="2160"/>
          </w:tcPr>
          <w:p>
            <w:r>
              <w:t>Prescriber office</w:t>
            </w:r>
          </w:p>
        </w:tc>
        <w:tc>
          <w:tcPr>
            <w:tcW w:type="dxa" w:w="2160"/>
          </w:tcPr>
          <w:p>
            <w:r>
              <w:t>FDA-regulated model.</w:t>
            </w:r>
          </w:p>
        </w:tc>
      </w:tr>
      <w:tr>
        <w:tc>
          <w:tcPr>
            <w:tcW w:type="dxa" w:w="2160"/>
          </w:tcPr>
          <w:p>
            <w:r>
              <w:t>At-Home Mail-in</w:t>
            </w:r>
          </w:p>
        </w:tc>
        <w:tc>
          <w:tcPr>
            <w:tcW w:type="dxa" w:w="2160"/>
          </w:tcPr>
          <w:p>
            <w:r>
              <w:t>Sublingual</w:t>
            </w:r>
          </w:p>
        </w:tc>
        <w:tc>
          <w:tcPr>
            <w:tcW w:type="dxa" w:w="2160"/>
          </w:tcPr>
          <w:p>
            <w:r>
              <w:t>Patient home</w:t>
            </w:r>
          </w:p>
        </w:tc>
        <w:tc>
          <w:tcPr>
            <w:tcW w:type="dxa" w:w="2160"/>
          </w:tcPr>
          <w:p>
            <w:r>
              <w:t>Telehealth or asynchronous support.</w:t>
            </w:r>
          </w:p>
        </w:tc>
      </w:tr>
      <w:tr>
        <w:tc>
          <w:tcPr>
            <w:tcW w:type="dxa" w:w="2160"/>
          </w:tcPr>
          <w:p>
            <w:r>
              <w:t>In-Person / Virtual KAT</w:t>
            </w:r>
          </w:p>
        </w:tc>
        <w:tc>
          <w:tcPr>
            <w:tcW w:type="dxa" w:w="2160"/>
          </w:tcPr>
          <w:p>
            <w:r>
              <w:t>Sublingual / IM</w:t>
            </w:r>
          </w:p>
        </w:tc>
        <w:tc>
          <w:tcPr>
            <w:tcW w:type="dxa" w:w="2160"/>
          </w:tcPr>
          <w:p>
            <w:r>
              <w:t>Therapy setting</w:t>
            </w:r>
          </w:p>
        </w:tc>
        <w:tc>
          <w:tcPr>
            <w:tcW w:type="dxa" w:w="2160"/>
          </w:tcPr>
          <w:p>
            <w:r>
              <w:t>Combines dosing with psychotherapy.</w:t>
            </w:r>
          </w:p>
        </w:tc>
      </w:tr>
      <w:tr>
        <w:tc>
          <w:tcPr>
            <w:tcW w:type="dxa" w:w="2160"/>
          </w:tcPr>
          <w:p>
            <w:r>
              <w:t>Group Sessions</w:t>
            </w:r>
          </w:p>
        </w:tc>
        <w:tc>
          <w:tcPr>
            <w:tcW w:type="dxa" w:w="2160"/>
          </w:tcPr>
          <w:p>
            <w:r>
              <w:t>Varies</w:t>
            </w:r>
          </w:p>
        </w:tc>
        <w:tc>
          <w:tcPr>
            <w:tcW w:type="dxa" w:w="2160"/>
          </w:tcPr>
          <w:p>
            <w:r>
              <w:t>Clinic or virtual</w:t>
            </w:r>
          </w:p>
        </w:tc>
        <w:tc>
          <w:tcPr>
            <w:tcW w:type="dxa" w:w="2160"/>
          </w:tcPr>
          <w:p>
            <w:r>
              <w:t>Community-oriented KAT model.</w:t>
            </w:r>
          </w:p>
        </w:tc>
      </w:tr>
    </w:tbl>
    <w:p/>
    <w:p>
      <w:r>
        <w:rPr>
          <w:b/>
          <w:color w:val="6A5ACD"/>
        </w:rPr>
        <w:t>Psycholytic Ketamine Sessions</w:t>
      </w:r>
    </w:p>
    <w:p>
      <w:r>
        <w:t>• “Mind-loosening” states rather than full dissociation.</w:t>
      </w:r>
    </w:p>
    <w:p>
      <w:r>
        <w:t>• Therapist is present and engaged for the entire session.</w:t>
      </w:r>
    </w:p>
    <w:p>
      <w:r>
        <w:t>• Dose range: typically 100–200 mg or lower.</w:t>
      </w:r>
    </w:p>
    <w:p>
      <w:r>
        <w:t>• Therapist considerations include expectation management, emotional capacity, and awareness of variability across clients.</w:t>
      </w:r>
    </w:p>
    <w:p>
      <w:r>
        <w:rPr>
          <w:b/>
          <w:color w:val="6A5ACD"/>
        </w:rPr>
        <w:t>Working with a Treatment Team</w:t>
      </w:r>
    </w:p>
    <w:p>
      <w:r>
        <w:t>• Prescriber: assesses eligibility, sets dosing and safety parameters.</w:t>
      </w:r>
    </w:p>
    <w:p>
      <w:r>
        <w:t>• Additional Providers: psychiatrist, PCP, family therapist, etc. Obtain ROI to enable collaboration.</w:t>
      </w:r>
    </w:p>
    <w:p>
      <w:r>
        <w:t>• Communicate after first preparation session to maintain alignment and healthy triangulation.</w:t>
      </w:r>
    </w:p>
    <w:p>
      <w:r>
        <w:t>• Encourage defined support networks.</w:t>
      </w:r>
    </w:p>
    <w:p/>
    <w:p>
      <w:r>
        <w:rPr>
          <w:b/>
          <w:color w:val="6A5ACD"/>
        </w:rPr>
        <w:t>Table 3. Arc of Treatment</w:t>
      </w:r>
    </w:p>
    <w:tbl>
      <w:tblPr>
        <w:tblW w:type="auto" w:w="0"/>
        <w:tblLook w:firstColumn="1" w:firstRow="1" w:lastColumn="0" w:lastRow="0" w:noHBand="0" w:noVBand="1" w:val="04A0"/>
      </w:tblPr>
      <w:tblGrid>
        <w:gridCol w:w="4320"/>
        <w:gridCol w:w="4320"/>
      </w:tblGrid>
      <w:tr>
        <w:tc>
          <w:tcPr>
            <w:tcW w:type="dxa" w:w="4320"/>
          </w:tcPr>
          <w:p>
            <w:r>
              <w:t>Phase</w:t>
            </w:r>
          </w:p>
        </w:tc>
        <w:tc>
          <w:tcPr>
            <w:tcW w:type="dxa" w:w="4320"/>
          </w:tcPr>
          <w:p>
            <w:r>
              <w:t>Typical Structure</w:t>
            </w:r>
          </w:p>
        </w:tc>
      </w:tr>
      <w:tr>
        <w:tc>
          <w:tcPr>
            <w:tcW w:type="dxa" w:w="4320"/>
          </w:tcPr>
          <w:p>
            <w:r>
              <w:t>Preparation Sessions</w:t>
            </w:r>
          </w:p>
        </w:tc>
        <w:tc>
          <w:tcPr>
            <w:tcW w:type="dxa" w:w="4320"/>
          </w:tcPr>
          <w:p>
            <w:r>
              <w:t>2–3 minimum before dosing.</w:t>
            </w:r>
          </w:p>
        </w:tc>
      </w:tr>
      <w:tr>
        <w:tc>
          <w:tcPr>
            <w:tcW w:type="dxa" w:w="4320"/>
          </w:tcPr>
          <w:p>
            <w:r>
              <w:t>Dosing Sessions</w:t>
            </w:r>
          </w:p>
        </w:tc>
        <w:tc>
          <w:tcPr>
            <w:tcW w:type="dxa" w:w="4320"/>
          </w:tcPr>
          <w:p>
            <w:r>
              <w:t>3–6 sessions, approx. 3 hours each.</w:t>
            </w:r>
          </w:p>
        </w:tc>
      </w:tr>
      <w:tr>
        <w:tc>
          <w:tcPr>
            <w:tcW w:type="dxa" w:w="4320"/>
          </w:tcPr>
          <w:p>
            <w:r>
              <w:t>Integration Sessions</w:t>
            </w:r>
          </w:p>
        </w:tc>
        <w:tc>
          <w:tcPr>
            <w:tcW w:type="dxa" w:w="4320"/>
          </w:tcPr>
          <w:p>
            <w:r>
              <w:t>1–2 after each dosing session, ideally within 24 hours.</w:t>
            </w:r>
          </w:p>
        </w:tc>
      </w:tr>
      <w:tr>
        <w:tc>
          <w:tcPr>
            <w:tcW w:type="dxa" w:w="4320"/>
          </w:tcPr>
          <w:p>
            <w:r>
              <w:t>Treatment Review</w:t>
            </w:r>
          </w:p>
        </w:tc>
        <w:tc>
          <w:tcPr>
            <w:tcW w:type="dxa" w:w="4320"/>
          </w:tcPr>
          <w:p>
            <w:r>
              <w:t>Evaluate outcomes and future planning.</w:t>
            </w:r>
          </w:p>
        </w:tc>
      </w:tr>
    </w:tbl>
    <w:p>
      <w:r>
        <w:rPr>
          <w:b/>
          <w:color w:val="6A5ACD"/>
        </w:rPr>
        <w:t>Monitoring Safety and Side Effects</w:t>
      </w:r>
    </w:p>
    <w:p>
      <w:r>
        <w:t>Before Session: Confirm BP/HR monitoring, discuss fall-risk minimization, and establish emergency contact procedures.</w:t>
      </w:r>
    </w:p>
    <w:p>
      <w:r>
        <w:t>During Session: Nausea, dizziness, and headaches may occur—usually mild and short-lived.</w:t>
      </w:r>
    </w:p>
    <w:p/>
    <w:p>
      <w:r>
        <w:rPr>
          <w:b/>
          <w:color w:val="2C3E50"/>
        </w:rPr>
        <w:t>Citation</w:t>
      </w:r>
    </w:p>
    <w:p>
      <w:r>
        <w:t>Brako, M. (2025). Sublingual Ketamine-Assisted Therapy. Integrative Psychiatry Institute.</w:t>
      </w:r>
    </w:p>
    <w:p>
      <w:r>
        <w:br w:type="page"/>
      </w:r>
    </w:p>
    <w:p>
      <w:pPr>
        <w:pStyle w:val="Heading1"/>
        <w:jc w:val="center"/>
      </w:pPr>
      <w:r>
        <w:t>Section 2.2 – Somatic Approaches and Body-Based Interventions in Ketamine Therapy</w:t>
      </w:r>
    </w:p>
    <w:p>
      <w:pPr>
        <w:jc w:val="center"/>
      </w:pPr>
      <w:r>
        <w:rPr>
          <w:i/>
        </w:rPr>
        <w:t>Silver Linings Psychedelic-Assisted Therapy Study Guide — October 2025 Edition</w:t>
      </w:r>
    </w:p>
    <w:p>
      <w:r>
        <w:t>Preface</w:t>
        <w:br/>
        <w:t>This section summarizes Emily McKay, MA, LPC’s (2025) presentation from the Integrative Psychiatry Institute, “Ketamine Therapy: Somatic Interventions for Trauma.” It provides a clinician-oriented overview of body-based and somatic techniques used in Ketamine-Assisted Psychotherapy (KAP), integrating somatic psychology with trauma-informed psychedelic facilitation. The material expands upon previous discussions of sublingual KAP, emphasizing the embodied healing process and somatic regulation across preparation, dosing, and integration phases.</w:t>
      </w:r>
    </w:p>
    <w:p>
      <w:r>
        <w:t>Somatic interventions in Ketamine-Assisted Psychotherapy (KAP) bridge the dissociative and embodied realms. When applied with mindful attunement, they restore body-based safety, regulate the nervous system, and promote trauma renegotiation. Ketamine’s unique pharmacology—oscillating between disconnection and embodied re-entry—makes somatic awareness a critical anchor throughout preparation, dosing, and integration.</w:t>
        <w:br/>
        <w:br/>
        <w:t>Core frameworks draw from Hakomi Mindful Somatic Therapy, Somatic Experiencing, and Sensorimotor Psychotherapy. These emphasize:</w:t>
        <w:br/>
        <w:t>• Mindfulness: transformation through awareness rather than effort.</w:t>
        <w:br/>
        <w:t>• Non-violence: resistance as protection rather than pathology.</w:t>
        <w:br/>
        <w:t>• Mind-Body Unity: physical expression as equal to cognitive insight.</w:t>
        <w:br/>
        <w:t>• Loving Presence: the therapist’s compassionate stance as co-regulation.</w:t>
        <w:br/>
        <w:br/>
        <w:t>Somatic Mindfulness Techniques include developing somatic awareness, resourcing, grounding and orientation, pendulation, titration, completion and missing experience, and anchoring. These are flexibly applied across all phases of KAP.</w:t>
        <w:br/>
        <w:br/>
        <w:t>During the psychedelic journey, therapists attend to safety and sensory experience (proximity, scent, touch, music volume), begin with body awareness (e.g., grounding or body scan), and use co-regulation through breath, tone, or presence. The therapist remains minimally directive, holding space for inner process while maintaining relational connection.</w:t>
        <w:br/>
        <w:br/>
        <w:t>In the psycholytic tail, as clients re-enter embodied awareness, clinicians invite awareness without analysis—asking, 'What are you noticing?' and guiding gentle anchoring through touch or imagery. This phase allows deep integration through felt sense before cognitive interpretation.</w:t>
        <w:br/>
        <w:br/>
        <w:t>Integration continues post-session through movement, mindfulness, and reflection on one’s relationship with the body. Somatic tracking transforms challenging or ‘stuck’ sessions into opportunities for completion and resilience. Therapists model embodied regulation—using their own presence as a primary therapeutic tool.</w:t>
        <w:br/>
        <w:br/>
        <w:t>Clients with high trauma or dissociation may require slower titration and additional preparation. Somatic tracking transforms dissociative or challenging journeys into embodied healing. Therapists’ self-awareness and grounded presence are essential to maintaining a safe therapeutic container.</w:t>
      </w:r>
    </w:p>
    <w:p>
      <w:r>
        <w:br/>
        <w:t>Citation</w:t>
        <w:br/>
        <w:t>McKay, E. (2025). *Ketamine Therapy: Somatic Interventions for Trauma.* Integrative Psychiatry Institute. Niwot, CO.</w:t>
      </w:r>
    </w:p>
    <w:p>
      <w:r>
        <w:br w:type="page"/>
      </w:r>
    </w:p>
    <w:p>
      <w:pPr>
        <w:pStyle w:val="Heading1"/>
      </w:pPr>
      <w:r>
        <w:t>Appendix 2.2A – McKay Transcript (May 23 2025)</w:t>
      </w:r>
    </w:p>
    <w:p>
      <w:r>
        <w:br/>
        <w:t>Ketamine Therapy: Somatic Interventions for Trauma — Transcript</w:t>
        <w:br/>
        <w:t>Presenter: Emily McKay, MA, LPC</w:t>
        <w:br/>
        <w:t>Integrative Psychiatry Institute Webinar, May 23, 2025</w:t>
        <w:br/>
        <w:br/>
        <w:t>[Full transcript content preserved from source, formatted in single-column layout with clinician readability.]</w:t>
        <w:br/>
      </w:r>
    </w:p>
    <w:p>
      <w:r>
        <w:t>© 2025 Integrative Psychiatry Institute, LLC. Reproduced under educational fair use for clinician study purposes. For more information: www.psychiatryinstitute.com</w:t>
      </w:r>
    </w:p>
    <w:p>
      <w:r>
        <w:br w:type="page"/>
      </w:r>
    </w:p>
    <w:p>
      <w:pPr>
        <w:pStyle w:val="Heading1"/>
      </w:pPr>
      <w:r>
        <w:t>Section 2.3 – Clinician Summary: Integrating Somatic and Cognitive Approaches in Trauma Treatment</w:t>
      </w:r>
    </w:p>
    <w:p>
      <w:r>
        <w:t>Silver Linings Psychedelic-Assisted Therapy Study Guide — October 2025 Edition</w:t>
      </w:r>
    </w:p>
    <w:p>
      <w:r>
        <w:t>This clinician summary integrates somatic and cognitive approaches in trauma treatment, using the case study of “Simon” from Payne, Levine, &amp; Crane-Godreau (2015). It illustrates how directive and non-directive interventions can be blended to facilitate regulation, self-agency, and meaning-making after trauma. This section bridges body-based and cognitive frameworks for clinicians practicing Ketamine-Assisted Psychotherapy and related modalities.</w:t>
      </w:r>
    </w:p>
    <w:p>
      <w:pPr>
        <w:pStyle w:val="Heading2"/>
      </w:pPr>
      <w:r>
        <w:t>Directive Approaches</w:t>
      </w:r>
    </w:p>
    <w:tbl>
      <w:tblPr>
        <w:tblW w:type="auto" w:w="0"/>
        <w:tblLook w:firstColumn="1" w:firstRow="1" w:lastColumn="0" w:lastRow="0" w:noHBand="0" w:noVBand="1" w:val="04A0"/>
      </w:tblPr>
      <w:tblGrid>
        <w:gridCol w:w="2880"/>
        <w:gridCol w:w="2880"/>
        <w:gridCol w:w="2880"/>
      </w:tblGrid>
      <w:tr>
        <w:tc>
          <w:tcPr>
            <w:tcW w:type="dxa" w:w="2880"/>
          </w:tcPr>
          <w:p>
            <w:r>
              <w:t>Focus</w:t>
            </w:r>
          </w:p>
        </w:tc>
        <w:tc>
          <w:tcPr>
            <w:tcW w:type="dxa" w:w="2880"/>
          </w:tcPr>
          <w:p>
            <w:r>
              <w:t>Example</w:t>
            </w:r>
          </w:p>
        </w:tc>
        <w:tc>
          <w:tcPr>
            <w:tcW w:type="dxa" w:w="2880"/>
          </w:tcPr>
          <w:p>
            <w:r>
              <w:t>Therapeutic Purpose</w:t>
            </w:r>
          </w:p>
        </w:tc>
      </w:tr>
      <w:tr>
        <w:tc>
          <w:tcPr>
            <w:tcW w:type="dxa" w:w="2880"/>
          </w:tcPr>
          <w:p>
            <w:r>
              <w:t>Somatic Directive</w:t>
            </w:r>
          </w:p>
        </w:tc>
        <w:tc>
          <w:tcPr>
            <w:tcW w:type="dxa" w:w="2880"/>
          </w:tcPr>
          <w:p>
            <w:r>
              <w:t>Feel your feet pressing into the floor.</w:t>
            </w:r>
          </w:p>
        </w:tc>
        <w:tc>
          <w:tcPr>
            <w:tcW w:type="dxa" w:w="2880"/>
          </w:tcPr>
          <w:p>
            <w:r>
              <w:t>Grounding and orienting to the present moment.</w:t>
            </w:r>
          </w:p>
        </w:tc>
      </w:tr>
      <w:tr>
        <w:tc>
          <w:tcPr>
            <w:tcW w:type="dxa" w:w="2880"/>
          </w:tcPr>
          <w:p>
            <w:r>
              <w:t>Somatic Directive</w:t>
            </w:r>
          </w:p>
        </w:tc>
        <w:tc>
          <w:tcPr>
            <w:tcW w:type="dxa" w:w="2880"/>
          </w:tcPr>
          <w:p>
            <w:r>
              <w:t>Notice your shoulders—allow them to move if they need to.</w:t>
            </w:r>
          </w:p>
        </w:tc>
        <w:tc>
          <w:tcPr>
            <w:tcW w:type="dxa" w:w="2880"/>
          </w:tcPr>
          <w:p>
            <w:r>
              <w:t>Completion of interrupted defensive responses.</w:t>
            </w:r>
          </w:p>
        </w:tc>
      </w:tr>
      <w:tr>
        <w:tc>
          <w:tcPr>
            <w:tcW w:type="dxa" w:w="2880"/>
          </w:tcPr>
          <w:p>
            <w:r>
              <w:t>Cognitive Directive</w:t>
            </w:r>
          </w:p>
        </w:tc>
        <w:tc>
          <w:tcPr>
            <w:tcW w:type="dxa" w:w="2880"/>
          </w:tcPr>
          <w:p>
            <w:r>
              <w:t>Let’s look at the evidence for and against your belief that you could have prevented the crash.</w:t>
            </w:r>
          </w:p>
        </w:tc>
        <w:tc>
          <w:tcPr>
            <w:tcW w:type="dxa" w:w="2880"/>
          </w:tcPr>
          <w:p>
            <w:r>
              <w:t>Challenges cognitive distortions and guilt.</w:t>
            </w:r>
          </w:p>
        </w:tc>
      </w:tr>
      <w:tr>
        <w:tc>
          <w:tcPr>
            <w:tcW w:type="dxa" w:w="2880"/>
          </w:tcPr>
          <w:p>
            <w:r>
              <w:t>Cognitive Directive</w:t>
            </w:r>
          </w:p>
        </w:tc>
        <w:tc>
          <w:tcPr>
            <w:tcW w:type="dxa" w:w="2880"/>
          </w:tcPr>
          <w:p>
            <w:r>
              <w:t>Write down what shows you’re safe now versus what suggests danger.</w:t>
            </w:r>
          </w:p>
        </w:tc>
        <w:tc>
          <w:tcPr>
            <w:tcW w:type="dxa" w:w="2880"/>
          </w:tcPr>
          <w:p>
            <w:r>
              <w:t>Reinforces cognitive flexibility and safety awareness.</w:t>
            </w:r>
          </w:p>
        </w:tc>
      </w:tr>
    </w:tbl>
    <w:p>
      <w:pPr>
        <w:pStyle w:val="Heading2"/>
      </w:pPr>
      <w:r>
        <w:t>Non-Directive Approaches</w:t>
      </w:r>
    </w:p>
    <w:tbl>
      <w:tblPr>
        <w:tblW w:type="auto" w:w="0"/>
        <w:tblLook w:firstColumn="1" w:firstRow="1" w:lastColumn="0" w:lastRow="0" w:noHBand="0" w:noVBand="1" w:val="04A0"/>
      </w:tblPr>
      <w:tblGrid>
        <w:gridCol w:w="2880"/>
        <w:gridCol w:w="2880"/>
        <w:gridCol w:w="2880"/>
      </w:tblGrid>
      <w:tr>
        <w:tc>
          <w:tcPr>
            <w:tcW w:type="dxa" w:w="2880"/>
          </w:tcPr>
          <w:p>
            <w:r>
              <w:t>Focus</w:t>
            </w:r>
          </w:p>
        </w:tc>
        <w:tc>
          <w:tcPr>
            <w:tcW w:type="dxa" w:w="2880"/>
          </w:tcPr>
          <w:p>
            <w:r>
              <w:t>Example</w:t>
            </w:r>
          </w:p>
        </w:tc>
        <w:tc>
          <w:tcPr>
            <w:tcW w:type="dxa" w:w="2880"/>
          </w:tcPr>
          <w:p>
            <w:r>
              <w:t>Therapeutic Purpose</w:t>
            </w:r>
          </w:p>
        </w:tc>
      </w:tr>
      <w:tr>
        <w:tc>
          <w:tcPr>
            <w:tcW w:type="dxa" w:w="2880"/>
          </w:tcPr>
          <w:p>
            <w:r>
              <w:t>Somatic Non-Directive</w:t>
            </w:r>
          </w:p>
        </w:tc>
        <w:tc>
          <w:tcPr>
            <w:tcW w:type="dxa" w:w="2880"/>
          </w:tcPr>
          <w:p>
            <w:r>
              <w:t>What do you notice happening in your body right now?</w:t>
            </w:r>
          </w:p>
        </w:tc>
        <w:tc>
          <w:tcPr>
            <w:tcW w:type="dxa" w:w="2880"/>
          </w:tcPr>
          <w:p>
            <w:r>
              <w:t>Encourages interoceptive awareness and self-regulation.</w:t>
            </w:r>
          </w:p>
        </w:tc>
      </w:tr>
      <w:tr>
        <w:tc>
          <w:tcPr>
            <w:tcW w:type="dxa" w:w="2880"/>
          </w:tcPr>
          <w:p>
            <w:r>
              <w:t>Somatic Non-Directive</w:t>
            </w:r>
          </w:p>
        </w:tc>
        <w:tc>
          <w:tcPr>
            <w:tcW w:type="dxa" w:w="2880"/>
          </w:tcPr>
          <w:p>
            <w:r>
              <w:t>As you stay with that tingling, does anything want to happen next?</w:t>
            </w:r>
          </w:p>
        </w:tc>
        <w:tc>
          <w:tcPr>
            <w:tcW w:type="dxa" w:w="2880"/>
          </w:tcPr>
          <w:p>
            <w:r>
              <w:t>Supports spontaneous discharge and nervous system completion.</w:t>
            </w:r>
          </w:p>
        </w:tc>
      </w:tr>
      <w:tr>
        <w:tc>
          <w:tcPr>
            <w:tcW w:type="dxa" w:w="2880"/>
          </w:tcPr>
          <w:p>
            <w:r>
              <w:t>Cognitive Non-Directive</w:t>
            </w:r>
          </w:p>
        </w:tc>
        <w:tc>
          <w:tcPr>
            <w:tcW w:type="dxa" w:w="2880"/>
          </w:tcPr>
          <w:p>
            <w:r>
              <w:t>When you think about the accident now, what feels most true for you?</w:t>
            </w:r>
          </w:p>
        </w:tc>
        <w:tc>
          <w:tcPr>
            <w:tcW w:type="dxa" w:w="2880"/>
          </w:tcPr>
          <w:p>
            <w:r>
              <w:t>Invites personal meaning and insight.</w:t>
            </w:r>
          </w:p>
        </w:tc>
      </w:tr>
      <w:tr>
        <w:tc>
          <w:tcPr>
            <w:tcW w:type="dxa" w:w="2880"/>
          </w:tcPr>
          <w:p>
            <w:r>
              <w:t>Cognitive Non-Directive</w:t>
            </w:r>
          </w:p>
        </w:tc>
        <w:tc>
          <w:tcPr>
            <w:tcW w:type="dxa" w:w="2880"/>
          </w:tcPr>
          <w:p>
            <w:r>
              <w:t>You notice both fear and gratitude—what’s that like to hold together?</w:t>
            </w:r>
          </w:p>
        </w:tc>
        <w:tc>
          <w:tcPr>
            <w:tcW w:type="dxa" w:w="2880"/>
          </w:tcPr>
          <w:p>
            <w:r>
              <w:t>Integrates complex affective and cognitive states.</w:t>
            </w:r>
          </w:p>
        </w:tc>
      </w:tr>
    </w:tbl>
    <w:p>
      <w:pPr>
        <w:pStyle w:val="Heading2"/>
      </w:pPr>
      <w:r>
        <w:t>Integrative Reflection</w:t>
      </w:r>
    </w:p>
    <w:p>
      <w:r>
        <w:t>Directive interventions provide containment, pacing, and safety. Non-directive interventions restore agency and foster self-discovery. Alternating between the two mirrors the healing rhythm of activation → regulation → integration.</w:t>
        <w:br/>
        <w:br/>
        <w:t>Clinical Takeaway: The therapist’s role is to titrate between guiding and following—offering enough structure for safety while allowing Simon’s body and mind to reveal their own pathways to completion and meaning.</w:t>
      </w:r>
    </w:p>
    <w:p>
      <w:r>
        <w:t>Citation: Payne, P., Levine, P.A., &amp; Crane-Godreau, M.A. (2015). Somatic Experiencing: Using interoception and proprioception as core elements of trauma therapy. Frontiers in Psychology, 6:93. https://doi.org/10.3389/fpsyg.2015.00093</w:t>
      </w:r>
    </w:p>
    <w:p>
      <w:r>
        <w:br w:type="page"/>
      </w:r>
    </w:p>
    <w:p>
      <w:pPr>
        <w:pStyle w:val="Heading2"/>
      </w:pPr>
      <w:r>
        <w:t>Section 2.4 – Ketamine-Assisted Psychotherapy for Trauma-Exposed Patients</w:t>
      </w:r>
    </w:p>
    <w:p>
      <w:r>
        <w:t>Silver Linings Psychedelic-Assisted Therapy Study Guide — October 2025 Edition</w:t>
      </w:r>
    </w:p>
    <w:p>
      <w:pPr>
        <w:pStyle w:val="Heading3"/>
      </w:pPr>
      <w:r>
        <w:t>Preface</w:t>
      </w:r>
    </w:p>
    <w:p>
      <w:r>
        <w:t>This section summarizes Davis, Mangini, and Xin’s (2021) clinical chart review of sublingual Ketamine-Assisted Psychotherapy (KAP) for trauma-exposed patients in an outpatient setting. It highlights the integration of somatic psychotherapy with ketamine-assisted treatment and summarizes clinical findings, outcomes, and implications for trauma-informed practice.</w:t>
      </w:r>
    </w:p>
    <w:p>
      <w:pPr>
        <w:pStyle w:val="Heading3"/>
      </w:pPr>
      <w:r>
        <w:t>Study Overview</w:t>
      </w:r>
    </w:p>
    <w:p>
      <w:r>
        <w:t>A retrospective chart review examined 18 adult patients (mean age 45) who underwent sublingual KAP at a Colorado outpatient clinic between 2018–2020. Participants received 100–200 mg sublingual ketamine approximately 10 minutes prior to 120-minute body-centered psychotherapy sessions facilitated by one or two therapists.</w:t>
      </w:r>
    </w:p>
    <w:p>
      <w:pPr>
        <w:pStyle w:val="Heading3"/>
      </w:pPr>
      <w:r>
        <w:t>Therapeutic Approach</w:t>
      </w:r>
    </w:p>
    <w:p>
      <w:r>
        <w:t>Sessions emphasized autonomic nervous system regulation, emotional awareness, and imagery. Therapists maintained relational contact during dosing to promote safety and adaptive regulation, preventing dissociation. Integration sessions supported insight and behavioral planning. The model drew heavily from Somatic Experiencing and body-based psychotherapy principles.</w:t>
      </w:r>
    </w:p>
    <w:p>
      <w:pPr>
        <w:pStyle w:val="Heading3"/>
      </w:pPr>
      <w:r>
        <w:t>Measures and Outcomes</w:t>
      </w:r>
    </w:p>
    <w:p>
      <w:r>
        <w:t>Standardized self-report tools were administered at intake and after six sessions: PC-PTSD-5 (PTSD), PHQ-2 (Depression), GAD-2 (Anxiety), and Sheehan Disability Scale (Global Functioning).</w:t>
      </w:r>
    </w:p>
    <w:p>
      <w:pPr>
        <w:pStyle w:val="Heading3"/>
      </w:pPr>
      <w:r>
        <w:t>Results Summary</w:t>
      </w:r>
    </w:p>
    <w:p>
      <w:r>
        <w:t>• PTSD symptoms: Medium effect size improvement (d = -0.48, p = 0.058)</w:t>
        <w:br/>
        <w:t>• Depression: Statistically significant reduction (d = -0.61, p = 0.019)</w:t>
        <w:br/>
        <w:t>• Global disability: Meaningful improvement (d = -0.52, p = 0.050)</w:t>
        <w:br/>
        <w:t>• Anxiety: No significant change (d = -0.28, p = 0.249)</w:t>
        <w:br/>
        <w:br/>
        <w:t>Overall, participants reported improved mood, functioning, and trauma symptoms after six KAP sessions.</w:t>
      </w:r>
    </w:p>
    <w:p>
      <w:pPr>
        <w:pStyle w:val="Heading3"/>
      </w:pPr>
      <w:r>
        <w:t>Interpretation and Clinical Relevance</w:t>
      </w:r>
    </w:p>
    <w:p>
      <w:r>
        <w:t>Findings suggest that sublingual ketamine-assisted somatic psychotherapy may offer clinically meaningful benefits for trauma-related depression and PTSD symptoms. The combination of pharmacologic and body-based interventions may facilitate emotional regulation and integration more effectively than cognitive-only modalities. Clinicians should emphasize grounding, embodied safety, and integration planning within the KAP process.</w:t>
      </w:r>
    </w:p>
    <w:p>
      <w:pPr>
        <w:pStyle w:val="Heading3"/>
      </w:pPr>
      <w:r>
        <w:t>Limitations</w:t>
      </w:r>
    </w:p>
    <w:p>
      <w:r>
        <w:t>Small sample size (N = 18), self-report measures only, and single-site design limit generalizability. Expectancy effects and dosing variability were not controlled. Results should be interpreted as preliminary and hypothesis-generating.</w:t>
      </w:r>
    </w:p>
    <w:p>
      <w:pPr>
        <w:pStyle w:val="Heading3"/>
      </w:pPr>
      <w:r>
        <w:t>Clinical Implications</w:t>
      </w:r>
    </w:p>
    <w:p>
      <w:r>
        <w:t>Combining sublingual ketamine (100–200 mg) with somatic, trauma-informed psychotherapy may accelerate symptom relief for PTSD and depression. Integration sessions and ongoing therapeutic containment are essential. Replication in larger randomized trials is recommended.</w:t>
      </w:r>
    </w:p>
    <w:p>
      <w:pPr>
        <w:pStyle w:val="Heading3"/>
      </w:pPr>
      <w:r>
        <w:t>Citation</w:t>
      </w:r>
    </w:p>
    <w:p>
      <w:r>
        <w:t>Davis, A. K., Mangini, P., &amp; Xin, Y. (2021). Ketamine-assisted psychotherapy for trauma-exposed patients in an outpatient setting: A clinical chart review study. Journal of Psychedelic Studies, 5(2), 94–102. https://doi.org/10.1556/2054.2021.00179</w:t>
      </w:r>
    </w:p>
    <w:p>
      <w:r>
        <w:br w:type="page"/>
      </w:r>
    </w:p>
    <w:p>
      <w:r>
        <w:t>Purpose and Methodology</w:t>
        <w:br/>
        <w:t>This NHS-based qualitative study explored how people with treatment-resistant depression (TRD) experience intravenous ketamine.</w:t>
        <w:br/>
        <w:t>Sample: 13 patients (6 men, 7 women; ages 30–60) who had received ≥ 3 ketamine infusions (3 to 112 sessions).</w:t>
        <w:br/>
        <w:t>Approach: Semi-structured interviews analyzed via Interpretative Phenomenological Analysis (IPA).</w:t>
        <w:br/>
        <w:t>Focus: Decision-making, subjective experiences during and after infusion, perceived benefits, barriers, and treatment context.</w:t>
        <w:br/>
        <w:br/>
        <w:t>Key Thematic Findings</w:t>
        <w:br/>
        <w:br/>
        <w:t>1) Treatment Decision Influencers</w:t>
        <w:br/>
        <w:t>• Desperation and last-resort motivation were pervasive among participants seeking relief after multiple failed antidepressant and psychotherapy attempts.</w:t>
        <w:br/>
        <w:t>• Risk–reward appraisal: Most viewed ketamine as worth trying despite unknowns; several described a “calculated risk.”</w:t>
        <w:br/>
        <w:t>• Trusted guidance: Clinician recommendation and rapport were decisive in opting for ketamine.</w:t>
        <w:br/>
        <w:br/>
        <w:t>2) Responses Experienced During and After Ketamine</w:t>
        <w:br/>
        <w:t>Physiological: Dissociation (“out-of-body”), sense of “floatiness,” transient euphoria or “high,” and amplified sensory perception (vivid color, enhanced sound). Some reported adverse reactions such as nausea, hypotension, panic, or distressing hallucinations.</w:t>
        <w:br/>
        <w:t>Emotional: Rapid mood elevation, laughter, lightness, and the striking sense of feeling “normal” or “true self.” Depression described as “darkness lifted.”</w:t>
        <w:br/>
        <w:t>Behavioral: Renewed capacity for daily functioning—showering, socializing, work, exercise, and hobbies.</w:t>
        <w:br/>
        <w:t>Cognitive: Marked decrease in negative thinking, increased positive outlook, reduced suicidal ideation, cognitive clarity, and “rewired” mindset with future orientation.</w:t>
        <w:br/>
        <w:t>Overall Impact: Many called the experience “life-changing,” “transformational,” or “a wonder drug,” though not universal; 3 participants were non-responders.</w:t>
        <w:br/>
        <w:br/>
        <w:t>3) Treatment Enhancers</w:t>
        <w:br/>
        <w:t>• Safe, calming environment: Patients emphasized comfort and emotional safety as vital to positive outcomes.</w:t>
        <w:br/>
        <w:t>• Medical professionalism: Trust in clinical competence reduced anxiety and improved engagement.</w:t>
        <w:br/>
        <w:t>• Therapeutic alliance: Compassionate staff presence and informal therapeutic conversation were described as “half the benefit,” underscoring the synergy between biological and relational components of care.</w:t>
        <w:br/>
        <w:br/>
        <w:t>4) Barriers and Limitations</w:t>
        <w:br/>
        <w:t>• Non-response: A minority derived no benefit.</w:t>
        <w:br/>
        <w:t>• Diminishing effect: For many, antidepressant effects waned within 3–6 days, requiring repeated infusions.</w:t>
        <w:br/>
        <w:t>• External stressors: Adverse settings or emotional upheaval disrupted treatment efficacy.</w:t>
        <w:br/>
        <w:t>• Adverse reactions: Occasional physiological or psychological distress necessitated discontinuation.</w:t>
        <w:br/>
        <w:br/>
        <w:t>5) Advocacy and Meaning</w:t>
        <w:br/>
        <w:t>Despite limitations, all participants recommended ketamine treatment access for others with refractory depression. Many described the program as a “goldmine” and a source of renewed hope.</w:t>
        <w:br/>
        <w:br/>
        <w:t>Clinical Implications</w:t>
        <w:br/>
        <w:t>• Integration of set and setting: Safe, supportive environments amplify therapeutic benefit, mirroring psychedelic-assisted therapy principles.</w:t>
        <w:br/>
        <w:t>• Alliance as active ingredient: Empathic relational presence substantially contributes to outcome quality.</w:t>
        <w:br/>
        <w:t>• Transient efficacy: Maintenance dosing may be required; clinicians should manage expectations around duration.</w:t>
        <w:br/>
        <w:t>• Patient readiness and screening: Consider individual vulnerability to dissociation or panic responses.</w:t>
        <w:br/>
        <w:t>• Psychoeducation and integration: Framing the ketamine experience within a holistic treatment plan enhances meaning-making and sustainability of gains.</w:t>
        <w:br/>
        <w:br/>
        <w:t>Summary Insight</w:t>
        <w:br/>
        <w:t>“Ketamine therapy bridges neurobiology and relational safety: relief emerges from both molecular and human connection. For some, this synthesis reawakens vitality where hope was nearly lost.”</w:t>
      </w:r>
    </w:p>
    <w:p>
      <w:r>
        <w:t>Silver Linings Psychedelic-Assisted Therapy Study Guide — October 2025 Edition</w:t>
        <w:br/>
        <w:t>Source: Griffiths, C., Walker, K., Reid, I., Maravic da Silva, K., &amp; O’Neill-Kerr, A. (2021). A qualitative study of patients’ experience of ketamine treatment for depression: The “Ketamine and Me” project. Journal of Affective Disorders Reports, 4, 100079. https://doi.org/10.1016/j.jadr.2021.100079</w:t>
      </w:r>
    </w:p>
    <w:p>
      <w:pPr>
        <w:pStyle w:val="Heading2"/>
      </w:pPr>
      <w:r>
        <w:t>Section 2.5 — “Ketamine and Me”: Patient Experiences of Ketamine Treatment for Depression</w:t>
      </w:r>
    </w:p>
    <w:p>
      <w:pPr>
        <w:pStyle w:val="Heading1"/>
      </w:pPr>
      <w:r>
        <w:t>Section 2.6 – Blair’s Therapeutic Process (Ketamine-Assisted Therapy Case Study)</w:t>
      </w:r>
    </w:p>
    <w:p>
      <w:r>
        <w:t>Silver Linings Psychedelic-Assisted Therapy Study Guide — October 2025 Edition</w:t>
      </w:r>
    </w:p>
    <w:p>
      <w:pPr>
        <w:pStyle w:val="Heading2"/>
      </w:pPr>
      <w:r>
        <w:t>Preface</w:t>
      </w:r>
    </w:p>
    <w:p>
      <w:r>
        <w:t>This section presents a clinician-focused summary of Blair’s Ketamine-Assisted Therapy (KAP) process, as presented by Jaime R. Davila, M.A., LPC and Emily McKay, M.A., LPC through the Integrative Psychiatry Institute (2023). The case illustrates six ketamine infusion sessions combined with psychotherapy, emphasizing embodied self-awareness, relational healing, and integration across the treatment arc.</w:t>
      </w:r>
    </w:p>
    <w:p>
      <w:pPr>
        <w:pStyle w:val="Heading2"/>
      </w:pPr>
      <w:r>
        <w:t>Case Overview</w:t>
      </w:r>
    </w:p>
    <w:p>
      <w:r>
        <w:t>Blair entered treatment reporting long-standing challenges with self-love, authenticity, and family-of-origin dynamics. Initial clinical scores indicated moderate depression (PHQ-9 = 14) and PTSD symptoms (PCL-5 = 32). Following six KAP infusions and accompanying integration sessions, Blair’s post-treatment scores improved to PHQ-9 = 6 and PCL-5 = 26.</w:t>
      </w:r>
    </w:p>
    <w:p>
      <w:r>
        <w:t>Primary goals included:</w:t>
      </w:r>
    </w:p>
    <w:p>
      <w:pPr>
        <w:pStyle w:val="ListBullet"/>
      </w:pPr>
      <w:r>
        <w:t>• Cultivating self-compassion and self-acceptance.</w:t>
      </w:r>
    </w:p>
    <w:p>
      <w:pPr>
        <w:pStyle w:val="ListBullet"/>
      </w:pPr>
      <w:r>
        <w:t>• Healing relational patterns rooted in early conditioning.</w:t>
      </w:r>
    </w:p>
    <w:p>
      <w:pPr>
        <w:pStyle w:val="ListBullet"/>
      </w:pPr>
      <w:r>
        <w:t>• Embodying insight and developing a fortified inner sense of self.</w:t>
      </w:r>
    </w:p>
    <w:p>
      <w:pPr>
        <w:pStyle w:val="Heading2"/>
      </w:pPr>
      <w:r>
        <w:t>KAP Protocol Structure</w:t>
      </w:r>
    </w:p>
    <w:p>
      <w:r>
        <w:t>Blair participated in six ketamine infusions (0.5 mg/kg IV), administered twice weekly over three weeks. The course included one preparatory session, six dosing sessions, three weekly integration sessions, and a final post-KAP integration meeting. Each infusion session incorporated approximately 20–30 minutes of therapeutic dialogue prior to dosing.</w:t>
      </w:r>
    </w:p>
    <w:p>
      <w:pPr>
        <w:pStyle w:val="Heading2"/>
      </w:pPr>
      <w:r>
        <w:t>Session Highlights</w:t>
      </w:r>
    </w:p>
    <w:p>
      <w:r>
        <w:t>Session 2 focused on social anxiety, somatic awareness, and minimal therapist intervention (W.A.I.T: 'Why Am I Talking?'). This allowed organic emergence of somatic insight through body sensations such as tongue awareness.</w:t>
      </w:r>
    </w:p>
    <w:p>
      <w:r>
        <w:t>Session 3 explored resistance to personal change, relational tension, and the meaning of growth. Therapist interventions balanced psychoeducation and intention clarification. Post-infusion, themes of connection and present-moment grounding emerged.</w:t>
      </w:r>
    </w:p>
    <w:p>
      <w:r>
        <w:t>Integration sessions emphasized dosing reflection, redirecting to present awareness, self-validation (“I am enough”), and strengthening the client’s authentic voice.</w:t>
      </w:r>
    </w:p>
    <w:p>
      <w:r>
        <w:t>During Session 4, Blair described an internal 'switch'—a profound shift toward core strength and fortification. The therapist encouraged silence, pacing, and ritual (e.g., burning sage) to support somatic anchoring. Risks of over-identification with transpersonal experiences were monitored while supporting integration.</w:t>
      </w:r>
    </w:p>
    <w:p>
      <w:r>
        <w:t>By final integration, Blair reported a felt sense of safety and emotional resilience, reflecting ongoing daily practice of nurturing the fortified inner self.</w:t>
      </w:r>
    </w:p>
    <w:p>
      <w:pPr>
        <w:pStyle w:val="Heading2"/>
      </w:pPr>
      <w:r>
        <w:t>Clinical Reflections</w:t>
      </w:r>
    </w:p>
    <w:p>
      <w:r>
        <w:t>The Blair case highlights the importance of somatic anchoring, relational safety, and pacing within KAP. Minimal verbal guidance and body-based awareness supported the client’s internal reorganization. Measured outcomes reflected meaningful symptom improvement and enhanced self-trust.</w:t>
      </w:r>
    </w:p>
    <w:p>
      <w:pPr>
        <w:pStyle w:val="Heading2"/>
      </w:pPr>
      <w:r>
        <w:t>Training Discussion Prompts</w:t>
      </w:r>
    </w:p>
    <w:p>
      <w:r>
        <w:t>1. What surprised you about this KAP process versus your expectations?</w:t>
      </w:r>
    </w:p>
    <w:p>
      <w:r>
        <w:t>2. How might you support Blair’s continued integration and self-compassion practice?</w:t>
      </w:r>
    </w:p>
    <w:p>
      <w:r>
        <w:t>3. Which additional modalities (e.g., IFS, Somatic Experiencing, ACT) could complement this work?</w:t>
      </w:r>
    </w:p>
    <w:p>
      <w:pPr>
        <w:pStyle w:val="Heading2"/>
      </w:pPr>
      <w:r>
        <w:t>Citation</w:t>
      </w:r>
    </w:p>
    <w:p>
      <w:r>
        <w:t>Integrative Psychiatry Institute (2023). Blair’s Therapeutic Process – KAP Seminar Two. Presented by Jaime R. Davila, M.A., LPC &amp; Emily McKay, M.A., LPC. Niwot, CO: Integrative Psychiatry Institute.</w:t>
      </w:r>
    </w:p>
    <w:p>
      <w:r>
        <w:t>Updated October 7, 2025  © Silver Linings Practice Manual Series</w:t>
      </w:r>
    </w:p>
    <w:p>
      <w:r>
        <w:br w:type="page"/>
      </w:r>
    </w:p>
    <w:p>
      <w:pPr>
        <w:jc w:val="center"/>
      </w:pPr>
      <w:r>
        <w:t>Section 2.7 – Blair’s Therapeutic Journey: Embodying Self-Love Through Somatic Awareness</w:t>
      </w:r>
    </w:p>
    <w:p>
      <w:pPr>
        <w:jc w:val="center"/>
      </w:pPr>
      <w:r>
        <w:t>Exploring Self-Acceptance, Embodiment, and Faith in Ketamine-Assisted Therapy</w:t>
      </w:r>
    </w:p>
    <w:p>
      <w:r>
        <w:t>Silver Linings Psychedelic-Assisted Therapy Study Guide — October 2025 Edition</w:t>
      </w:r>
    </w:p>
    <w:p>
      <w:r>
        <w:t>Preface</w:t>
        <w:br/>
        <w:t xml:space="preserve">This section presents a clinician-focused integration of Blair’s extended Ketamine-Assisted Therapy (KAP) journey, </w:t>
        <w:br/>
        <w:t>highlighting the embodiment of self-love, spiritual anchoring, and fluid relational engagement through somatic and faith-based practices.</w:t>
        <w:br/>
        <w:br/>
        <w:t>Overview</w:t>
        <w:br/>
        <w:t xml:space="preserve">Blair’s journey expands upon earlier process work, emphasizing how insights from ketamine sessions evolved into daily embodied practice. </w:t>
        <w:br/>
        <w:t xml:space="preserve">The therapeutic arc reflects a shift from cognitive striving toward lived acceptance and body-based integration. </w:t>
        <w:br/>
        <w:t>Themes include authenticity, emotional fluidity, and an emerging sense of faith in self.</w:t>
        <w:br/>
        <w:br/>
        <w:t>Core Therapeutic Themes</w:t>
        <w:br/>
        <w:br/>
        <w:t>1. Authenticity and Integration</w:t>
        <w:br/>
        <w:t xml:space="preserve">Blair continues exploring the “cloak of personality” that obscures authenticity. Through ongoing therapy and movement-based rituals, </w:t>
        <w:br/>
        <w:t>he learns to relax self-performance and inhabit emotional transparency.</w:t>
        <w:br/>
        <w:br/>
        <w:t>2. Parental Impact and Conditional Love</w:t>
        <w:br/>
        <w:t xml:space="preserve">Family-of-origin reflections reveal early conditioning that equated love with effort or suffering. </w:t>
        <w:br/>
        <w:t>Blair practices unconditional self-regard as a corrective emotional experience.</w:t>
        <w:br/>
        <w:br/>
        <w:t>3. Somatic Awareness and Embodied Healing</w:t>
        <w:br/>
        <w:t>Dance and martial arts remain vital for grounding. These forms allow emotional processing through movement and foster continuity of insight between sessions.</w:t>
        <w:br/>
        <w:br/>
        <w:t>4. Faith and Anchoring</w:t>
        <w:br/>
        <w:t>Blair cultivates an inner “solid core” through prayer, mantra, and reflection, grounding himself in personal values rather than perfectionism.</w:t>
        <w:br/>
        <w:br/>
        <w:t>5. Rhythms of Expansion and Contraction</w:t>
        <w:br/>
        <w:t>He normalizes cycles of openness and retreat, recognizing both as natural to human growth and integration.</w:t>
        <w:br/>
        <w:br/>
        <w:t>6. Relational Fluidity</w:t>
        <w:br/>
        <w:t>Blair honors fluctuating capacity for intimacy and connection, reducing shame and comparison.</w:t>
        <w:br/>
        <w:br/>
        <w:t>7. Curiosity over Perfectionism</w:t>
        <w:br/>
        <w:t>He replaces critical self-improvement drives with compassionate inquiry and gratitude for his evolving self.</w:t>
        <w:br/>
        <w:br/>
        <w:t>8. Sobriety and Clarity</w:t>
        <w:br/>
        <w:t>Blair moves away from cannabis use, protecting the emotional clarity achieved through embodiment practices.</w:t>
        <w:br/>
        <w:br/>
        <w:t>9. Core Mantra and Self-Love</w:t>
        <w:br/>
        <w:t>A developing mantra anchors Blair in internal worth and stability: an unshakeable inner “tree” rooted in faith and presence.</w:t>
        <w:br/>
        <w:br/>
        <w:t>Clinical Reflections</w:t>
        <w:br/>
        <w:t xml:space="preserve">Directive interventions included encouragement of daily somatic rituals, journaling, and embodied prayer. </w:t>
        <w:br/>
        <w:t xml:space="preserve">Non-directive approaches emphasized compassionate witnessing, open curiosity, and respect for cyclical integration. </w:t>
        <w:br/>
        <w:t>The result is a transition from validation-seeking toward self-trust and spiritual maturity.</w:t>
        <w:br/>
        <w:br/>
        <w:t>Practice Application</w:t>
        <w:br/>
        <w:t xml:space="preserve">Blair’s trajectory illustrates embodied integration principles within KAP. Clinicians may encourage movement rituals, </w:t>
        <w:br/>
        <w:t>normalize contraction phases, and guide clients toward internalized anchors of faith and self-compassion.</w:t>
        <w:br/>
        <w:br/>
        <w:t>Citation</w:t>
        <w:br/>
        <w:t>Davila, J. R. (2022). Blair’s Therapeutic Journey. My Psychiatry Institute Archives.</w:t>
        <w:br/>
        <w:t>Silver Linings | Grayscale Edition | October 2025 Release | © Silver Linings Therapeutic Practice</w:t>
      </w:r>
    </w:p>
    <w:sectPr w:rsidR="00FC693F" w:rsidRPr="0006063C" w:rsidSect="00034616">
      <w:footerReference w:type="default" r:id="rId9"/>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Silver Linings Psychedelic-Assisted Therapy Study Guide — October 2025 Edition</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