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2"/>
      </w:pPr>
      <w:r>
        <w:t>Section 2.8 — Understanding and Extending the Durability of Ketamine’s Antidepressant Effects</w:t>
      </w:r>
    </w:p>
    <w:p>
      <w:r>
        <w:t>Silver Linings Psychedelic-Assisted Therapy Study Guide — October 2025 Edition</w:t>
        <w:br/>
        <w:br/>
        <w:t>Why Ketamine’s Effects Fade Over Time</w:t>
        <w:br/>
        <w:br/>
        <w:t>Ketamine’s antidepressant benefits are rapid but often transient, typically lasting from several days to two weeks following an infusion or sublingual session. This pattern arises from both neurobiological and psychological mechanisms:</w:t>
        <w:br/>
        <w:br/>
        <w:t>1. Neurochemical Reset vs. Structural Consolidation</w:t>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br/>
        <w:br/>
        <w:t>2. Homeostatic Reset of the Glutamate System</w:t>
        <w:br/>
        <w:t>The nervous system seeks equilibrium. As ketamine’s acute pharmacologic effects wane, glutamate and GABA balance normalize. Without supportive interventions, this can return clients to prior depressive baselines.</w:t>
        <w:br/>
        <w:br/>
        <w:t>3. Psychological Assimilation Lag</w:t>
        <w:br/>
        <w:t>The state change induced by ketamine—dissolution of rigid self-narratives and increased affect tolerance—does not automatically become a lasting trait. Without preparation and integration, new perspectives fade like a dream on waking.</w:t>
        <w:br/>
        <w:br/>
        <w:t>4. External and Relational Factors</w:t>
        <w:br/>
        <w:t>Ongoing stress, trauma activation, or lack of social support may erode gains. The environment must echo the inner shift for it to consolidate.</w:t>
        <w:br/>
        <w:br/>
        <w:t>---</w:t>
        <w:br/>
        <w:br/>
        <w:t>How Therapists Can Extend and Deepen the Benefits</w:t>
        <w:br/>
        <w:br/>
        <w:t>Therapists can enhance the durability of ketamine’s effects by transforming a transient neurobiological window into sustained psychological reorganization.</w:t>
        <w:br/>
        <w:br/>
        <w:t>1. Preparation: Priming the Mind–Brain System</w:t>
        <w:br/>
        <w:t xml:space="preserve">• Clarify intention—help clients identify meaningful therapeutic aims rather than symptom eradication alone.  </w:t>
        <w:br/>
        <w:t xml:space="preserve">• Establish safety—address attachment and trauma history to reduce fear responses.  </w:t>
        <w:br/>
        <w:t xml:space="preserve">• Educate about the transient arc—normalize the need for active integration.  </w:t>
        <w:br/>
        <w:t>• Resource the nervous system—teach grounding and breathwork to enhance regulation during dosing.</w:t>
        <w:br/>
        <w:br/>
        <w:t>2. During the Experience: Trust and Somatic Tracking</w:t>
        <w:br/>
        <w:t xml:space="preserve">• Maintain a non-intrusive presence conveying containment and curiosity.  </w:t>
        <w:br/>
        <w:t xml:space="preserve">• Encourage awareness of bodily sensations and emotions rather than cognitive analysis.  </w:t>
        <w:br/>
        <w:t>• Use tone and breath to co-regulate, helping encode safety in the body memory.</w:t>
        <w:br/>
        <w:br/>
        <w:t>3. Integration: Translating State into Trait</w:t>
        <w:br/>
        <w:t xml:space="preserve">• Facilitate narrative consolidation—help clients articulate meaning.  </w:t>
        <w:br/>
        <w:t xml:space="preserve">• Support behavioral activation—guide small, aligned actions post-session.  </w:t>
        <w:br/>
        <w:t xml:space="preserve">• Reinforce somatic memory—revisit felt experiences of connection and relief.  </w:t>
        <w:br/>
        <w:t xml:space="preserve">• Offer relational mirroring—reflect growth and agency.  </w:t>
        <w:br/>
        <w:t>• Encourage mindfulness or journaling during the 24–72 hour neuroplastic window.</w:t>
        <w:br/>
        <w:br/>
        <w:t>4. Structured Maintenance Planning</w:t>
        <w:br/>
        <w:t xml:space="preserve">• Coordinate with prescribers about maintenance dosing as indicated.  </w:t>
        <w:br/>
        <w:t xml:space="preserve">• Schedule regular integration sessions rather than isolated dosing events.  </w:t>
        <w:br/>
        <w:t>• Introduce supportive modalities (IFS, ACT, Somatic Experiencing) to consolidate neural and psychological change.</w:t>
        <w:br/>
        <w:br/>
        <w:t>---</w:t>
        <w:br/>
        <w:br/>
        <w:t>Summary Insight</w:t>
        <w:br/>
        <w:br/>
        <w:t xml:space="preserve">“Ketamine opens the door; integration teaches the client to live in the new room.”  </w:t>
        <w:br/>
        <w:t>The therapist’s role is to translate short-term neurobiological expansion into long-term psychological coherence through safety, intention, and embodied practice.</w:t>
      </w:r>
    </w:p>
    <w:p>
      <w:pPr>
        <w:pStyle w:val="Heading2"/>
      </w:pPr>
      <w:r>
        <w:t>Section 2.9 — The Central Role of Integration in Ketamine-Assisted Therapy for Treatment-Resistant Depression (TRD)</w:t>
      </w:r>
    </w:p>
    <w:p>
      <w:r>
        <w:t>Silver Linings Psychedelic-Assisted Therapy Study Guide — October 2025 Edition</w:t>
        <w:br/>
        <w:br/>
        <w:t>Overview: Why Integration Matters</w:t>
        <w:br/>
        <w:br/>
        <w:t>For individuals with Treatment-Resistant Depression (TRD), ketamine’s pharmacologic effects can catalyze rapid symptom relief and a window of emotional flexibility—but without integration, these openings often remain fleeting. Integration transforms a transient neurochemical shift into a durable psychological reorganization. It is the process through which insight becomes embodiment, and relief becomes resilience.</w:t>
        <w:br/>
        <w:br/>
        <w:t>In TRD populations—where hopelessness, learned helplessness, and cognitive rigidity are entrenched—integration provides the bridge between state change and sustainable transformation.</w:t>
        <w:br/>
        <w:br/>
        <w:t>---</w:t>
        <w:br/>
        <w:br/>
        <w:t>1. Neurobiological Foundations: Translating Plasticity into Change</w:t>
        <w:br/>
        <w:t>Ketamine’s mechanism—through NMDA receptor blockade and AMPA activation—creates a temporary neuroplastic window lasting roughly 24–72 hours. During this time, synaptogenesis and dendritic remodeling occur in mood-related regions such as the prefrontal cortex and hippocampus. Integration work during this phase stabilizes new neural pathways by pairing insight with behavior, emotion, and relational experience. Without integration, the nervous system may default back to familiar depressive circuitry, effectively “forgetting” the opening that ketamine allowed. Integration thus acts as behavioral neuroplasticity—helping clients rehearse and anchor new emotional and cognitive patterns while the brain is most capable of change.</w:t>
        <w:br/>
        <w:br/>
        <w:t>2. Psychological and Existential Meaning-Making</w:t>
        <w:br/>
        <w:t>Ketamine sessions can evoke profound shifts in consciousness—ego dissolution, emotional release, or transpersonal experience. For individuals with TRD, these moments may be disorienting or feel “too different” from their baseline depressive identity. Integration helps the client translate the experience into meaningful language and lived context. It invites the question: “How does what I experienced relate to my daily life, my relationships, my purpose?” Through guided reflection, journaling, and somatic awareness, the therapist helps turn temporary transcendence into grounded transformation.</w:t>
        <w:br/>
        <w:br/>
        <w:t>3. Rewiring Depressive Narratives</w:t>
        <w:br/>
        <w:t>Clients with TRD often hold deeply ingrained beliefs such as “nothing will ever help” or “I am broken.” During a ketamine session, those beliefs may temporarily soften or dissolve. The role of integration is to reinforce moments of relief or self-compassion as evidence of possibility, help clients practice new self-narratives while neuroplasticity is active, and replace fatalistic schemas with experiential truth (“I felt peace,” “I am not my depression”). This creates a feedback loop where neurobiological openness meets cognitive reappraisal, consolidating change on multiple levels.</w:t>
        <w:br/>
        <w:br/>
        <w:t>4. Relational Repair and the Therapeutic Alliance</w:t>
        <w:br/>
        <w:t>TRD is often accompanied by social withdrawal and attachment wounding. The therapist’s presence during integration serves as a corrective relational experience, modeling safety, attunement, and curiosity rather than judgment. Processing the ketamine journey in relationship helps the client tolerate vulnerability and connection. Integration thus becomes a rehearsal space for healthy attachment and self-trust, extending therapeutic gains beyond symptom reduction.</w:t>
        <w:br/>
        <w:br/>
        <w:t>5. Behavioral and Lifestyle Anchoring</w:t>
        <w:br/>
        <w:t>Integration is also pragmatic—it helps clients convert insight into action. Examples include scheduling social or creative activities during the neuroplastic window, adjusting routines to align with renewed energy, and practicing mindfulness or movement rituals that evoke the same embodied states experienced during the journey. These grounded behaviors reinforce the neural and emotional pathways associated with vitality, helping the antidepressant effect “stick.”</w:t>
        <w:br/>
        <w:br/>
        <w:t>6. Preventing Relapse and Dissociation</w:t>
        <w:br/>
        <w:t>Without structured integration, clients may chase the pharmacologic “lift” through repeated dosing without meaning consolidation. This can lead to psychological dependence or “ketamine drift” (seeking relief without embodiment), emotional blunting, or despair when the temporary high fades. Integration mitigates this by reorienting the process toward agency, coherence, and wholeness—restoring meaning where depression had eroded it.</w:t>
        <w:br/>
        <w:br/>
        <w:t>---</w:t>
        <w:br/>
        <w:br/>
        <w:t>Summary Insight</w:t>
        <w:br/>
        <w:br/>
        <w:t>“Integration is where the medicine becomes medicine.” In TRD, it transforms a fleeting antidepressant effect into a lived experience of reconnection, purpose, and embodied possibility. Through relational attunement, meaning-making, and behavioral anchoring, integration is the space where neurobiology and narrative healing meet.</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Silver Linings Psychedelic-Assisted Therapy Study Guide — October 2025 Edition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